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62" w:rsidRPr="00577030" w:rsidRDefault="00B51F60" w:rsidP="000A1B62">
      <w:pPr>
        <w:pStyle w:val="Header"/>
        <w:tabs>
          <w:tab w:val="clear" w:pos="4153"/>
          <w:tab w:val="clear" w:pos="8306"/>
        </w:tabs>
        <w:rPr>
          <w:rFonts w:cs="Arial"/>
          <w:b/>
          <w:sz w:val="32"/>
          <w:szCs w:val="32"/>
        </w:rPr>
      </w:pPr>
      <w:bookmarkStart w:id="0" w:name="Introduction"/>
      <w:r w:rsidRPr="00577030">
        <w:rPr>
          <w:rFonts w:cs="Arial"/>
          <w:b/>
          <w:sz w:val="32"/>
          <w:szCs w:val="32"/>
        </w:rPr>
        <w:t>Lancashire County Council Internal Audit Service</w:t>
      </w:r>
    </w:p>
    <w:p w:rsidR="000A1B62" w:rsidRPr="00577030" w:rsidRDefault="00B51F60" w:rsidP="000A1B62">
      <w:pPr>
        <w:pStyle w:val="Header"/>
        <w:tabs>
          <w:tab w:val="clear" w:pos="4153"/>
          <w:tab w:val="clear" w:pos="8306"/>
        </w:tabs>
        <w:rPr>
          <w:rFonts w:cs="Arial"/>
          <w:b/>
          <w:sz w:val="32"/>
          <w:szCs w:val="32"/>
        </w:rPr>
      </w:pPr>
      <w:r w:rsidRPr="00577030">
        <w:rPr>
          <w:rFonts w:cs="Arial"/>
          <w:b/>
          <w:sz w:val="32"/>
          <w:szCs w:val="32"/>
        </w:rPr>
        <w:t>Annual report for the year ended 31 March 2017</w:t>
      </w:r>
    </w:p>
    <w:p w:rsidR="00AB7F56" w:rsidRDefault="00B51F60" w:rsidP="002C69C9">
      <w:pPr>
        <w:pStyle w:val="Heading1"/>
        <w:numPr>
          <w:ilvl w:val="0"/>
          <w:numId w:val="1"/>
        </w:numPr>
        <w:spacing w:after="120"/>
        <w:rPr>
          <w:rFonts w:ascii="Arial" w:hAnsi="Arial" w:cs="Arial"/>
          <w:bCs w:val="0"/>
        </w:rPr>
      </w:pPr>
      <w:r>
        <w:rPr>
          <w:rFonts w:ascii="Arial" w:hAnsi="Arial" w:cs="Arial"/>
        </w:rPr>
        <w:t>Introduction</w:t>
      </w:r>
    </w:p>
    <w:bookmarkEnd w:id="0"/>
    <w:p w:rsidR="00AB7F56" w:rsidRDefault="00B51F60" w:rsidP="00C630F6">
      <w:pPr>
        <w:pStyle w:val="Heading3"/>
        <w:tabs>
          <w:tab w:val="left" w:pos="284"/>
        </w:tabs>
        <w:spacing w:after="120"/>
        <w:rPr>
          <w:rFonts w:ascii="Arial" w:hAnsi="Arial" w:cs="Arial"/>
          <w:bCs w:val="0"/>
        </w:rPr>
      </w:pPr>
      <w:r>
        <w:rPr>
          <w:rFonts w:ascii="Arial" w:hAnsi="Arial" w:cs="Arial"/>
        </w:rPr>
        <w:t>Purpose of this report</w:t>
      </w:r>
    </w:p>
    <w:p w:rsidR="0096047D" w:rsidRDefault="00B51F60" w:rsidP="002C69C9">
      <w:pPr>
        <w:numPr>
          <w:ilvl w:val="1"/>
          <w:numId w:val="1"/>
        </w:numPr>
        <w:spacing w:before="120" w:after="120"/>
      </w:pPr>
      <w:r>
        <w:t>This report summarises the work that the county council's Internal Audit Service has undertaken during 2016/17 and the key themes arising in relation to internal control, governance and risk management across the council.</w:t>
      </w:r>
    </w:p>
    <w:p w:rsidR="00022CE8" w:rsidRPr="00022CE8" w:rsidRDefault="00B51F60" w:rsidP="00022CE8">
      <w:pPr>
        <w:pStyle w:val="ListParagraph"/>
        <w:numPr>
          <w:ilvl w:val="1"/>
          <w:numId w:val="1"/>
        </w:numPr>
        <w:spacing w:before="120" w:after="120"/>
        <w:contextualSpacing w:val="0"/>
        <w:rPr>
          <w:rFonts w:cs="Arial"/>
        </w:rPr>
      </w:pPr>
      <w:r w:rsidRPr="00F53626">
        <w:rPr>
          <w:rFonts w:cs="Arial"/>
        </w:rPr>
        <w:t>In January 2016 the Audit and Governance Committee considered and approved a strategic internal audit plan for 2015/16, 2016/17 and beyond</w:t>
      </w:r>
      <w:r>
        <w:rPr>
          <w:rFonts w:cs="Arial"/>
        </w:rPr>
        <w:t>. Small amendments to the plan have been considered by the committee during the course of the year but t</w:t>
      </w:r>
      <w:r w:rsidRPr="00F53626">
        <w:rPr>
          <w:rFonts w:cs="Arial"/>
        </w:rPr>
        <w:t xml:space="preserve">he </w:t>
      </w:r>
      <w:r>
        <w:rPr>
          <w:rFonts w:cs="Arial"/>
        </w:rPr>
        <w:t>work is now complete and is reported here.</w:t>
      </w:r>
    </w:p>
    <w:p w:rsidR="00E1443F" w:rsidRPr="00E1443F" w:rsidRDefault="00B51F60" w:rsidP="00C630F6">
      <w:pPr>
        <w:pStyle w:val="Heading3"/>
        <w:tabs>
          <w:tab w:val="left" w:pos="284"/>
        </w:tabs>
        <w:spacing w:after="120"/>
        <w:rPr>
          <w:rFonts w:ascii="Arial" w:hAnsi="Arial" w:cs="Arial"/>
        </w:rPr>
      </w:pPr>
      <w:r w:rsidRPr="00E1443F">
        <w:rPr>
          <w:rFonts w:ascii="Arial" w:hAnsi="Arial" w:cs="Arial"/>
        </w:rPr>
        <w:t>The role of internal audit</w:t>
      </w:r>
    </w:p>
    <w:p w:rsidR="00AB7F56" w:rsidRDefault="00B51F60" w:rsidP="002C69C9">
      <w:pPr>
        <w:numPr>
          <w:ilvl w:val="1"/>
          <w:numId w:val="1"/>
        </w:numPr>
        <w:spacing w:before="120" w:after="120"/>
      </w:pPr>
      <w:r>
        <w:t>The Internal Audit Service is an assurance function that provides an independent and objective opinion on the adequacy and effectiveness of the council's control environment. The Public Sector Internal Audit Standards (PSIAS) issued by the Chartered Institute of Public Finance and Accountancy (CIPFA) and the Chartered Institute of Internal Auditors (CIIA) require the head of internal audit to provide an opinion on the council's control environment and a written report to those charged with governance, timed to support the annual governance statement. This report presents my opinion based upon the work the Internal Audit Service has performed during 2016/17.</w:t>
      </w:r>
    </w:p>
    <w:p w:rsidR="00AB7F56" w:rsidRDefault="00B51F60" w:rsidP="002C69C9">
      <w:pPr>
        <w:numPr>
          <w:ilvl w:val="1"/>
          <w:numId w:val="1"/>
        </w:numPr>
        <w:spacing w:before="120" w:after="120"/>
      </w:pPr>
      <w:r>
        <w:t>The scope of our work, management and audit’s responsibilities, the basis of my assessment, and access to this report are set</w:t>
      </w:r>
      <w:r w:rsidR="00C6442D">
        <w:t xml:space="preserve"> out in Appendix </w:t>
      </w:r>
      <w:r w:rsidRPr="006F2F4E">
        <w:t xml:space="preserve">C </w:t>
      </w:r>
      <w:r>
        <w:t>to this report.</w:t>
      </w:r>
    </w:p>
    <w:p w:rsidR="00AB7F56" w:rsidRPr="00F92FDE" w:rsidRDefault="00B51F60" w:rsidP="00C630F6">
      <w:pPr>
        <w:pStyle w:val="Heading3"/>
        <w:tabs>
          <w:tab w:val="left" w:pos="284"/>
        </w:tabs>
        <w:spacing w:after="120"/>
        <w:rPr>
          <w:rFonts w:ascii="Arial" w:hAnsi="Arial" w:cs="Arial"/>
        </w:rPr>
      </w:pPr>
      <w:r>
        <w:rPr>
          <w:rFonts w:ascii="Arial" w:hAnsi="Arial" w:cs="Arial"/>
        </w:rPr>
        <w:t>Interim reports</w:t>
      </w:r>
    </w:p>
    <w:p w:rsidR="00AB7F56" w:rsidRPr="00D461F3" w:rsidRDefault="00B51F60" w:rsidP="002C69C9">
      <w:pPr>
        <w:numPr>
          <w:ilvl w:val="1"/>
          <w:numId w:val="1"/>
        </w:numPr>
        <w:spacing w:before="120" w:after="120"/>
      </w:pPr>
      <w:r>
        <w:t xml:space="preserve">This report builds on the matters reported throughout the year that have been the subject of discussions with members of the Management Team and their senior </w:t>
      </w:r>
      <w:r w:rsidRPr="00D461F3">
        <w:t>management teams.</w:t>
      </w:r>
    </w:p>
    <w:p w:rsidR="00D461F3" w:rsidRPr="00AF1510" w:rsidRDefault="00B51F60" w:rsidP="00D461F3">
      <w:pPr>
        <w:numPr>
          <w:ilvl w:val="1"/>
          <w:numId w:val="1"/>
        </w:numPr>
        <w:spacing w:before="120" w:after="120"/>
      </w:pPr>
      <w:r w:rsidRPr="00CC195D">
        <w:t xml:space="preserve">I have provided </w:t>
      </w:r>
      <w:r>
        <w:t xml:space="preserve">summaries of individual pieces of audit work completed </w:t>
      </w:r>
      <w:proofErr w:type="gramStart"/>
      <w:r>
        <w:t>throughout</w:t>
      </w:r>
      <w:proofErr w:type="gramEnd"/>
      <w:r>
        <w:t xml:space="preserve"> the course of the year in my progress reports to each meeting of the Audit and Governance Committee. </w:t>
      </w:r>
      <w:r w:rsidRPr="00D461F3">
        <w:t xml:space="preserve">Short summaries </w:t>
      </w:r>
      <w:r>
        <w:t xml:space="preserve">of each audit </w:t>
      </w:r>
      <w:r w:rsidRPr="00D461F3">
        <w:t xml:space="preserve">are </w:t>
      </w:r>
      <w:r>
        <w:t xml:space="preserve">provided </w:t>
      </w:r>
      <w:r w:rsidRPr="00D461F3">
        <w:t xml:space="preserve">here at </w:t>
      </w:r>
      <w:r w:rsidR="00C6442D">
        <w:t>Appendix</w:t>
      </w:r>
      <w:r w:rsidRPr="006F2F4E">
        <w:t xml:space="preserve"> B </w:t>
      </w:r>
      <w:r>
        <w:t>and the full reports will be provided to any members on request.</w:t>
      </w:r>
    </w:p>
    <w:p w:rsidR="00AB7F56" w:rsidRDefault="00C6442D" w:rsidP="00C630F6">
      <w:pPr>
        <w:tabs>
          <w:tab w:val="left" w:pos="284"/>
        </w:tabs>
      </w:pPr>
    </w:p>
    <w:p w:rsidR="00AB7F56" w:rsidRDefault="00C6442D" w:rsidP="00C630F6">
      <w:pPr>
        <w:tabs>
          <w:tab w:val="left" w:pos="284"/>
        </w:tabs>
      </w:pPr>
    </w:p>
    <w:p w:rsidR="00AB7F56" w:rsidRDefault="00B51F60" w:rsidP="00C630F6">
      <w:pPr>
        <w:tabs>
          <w:tab w:val="left" w:pos="284"/>
        </w:tabs>
      </w:pPr>
      <w:r>
        <w:t>Ruth Lowry</w:t>
      </w:r>
    </w:p>
    <w:p w:rsidR="00AB7F56" w:rsidRDefault="00B51F60" w:rsidP="00C630F6">
      <w:pPr>
        <w:tabs>
          <w:tab w:val="left" w:pos="284"/>
        </w:tabs>
      </w:pPr>
      <w:r>
        <w:t>Head of Internal Audit</w:t>
      </w:r>
    </w:p>
    <w:p w:rsidR="00AB7F56" w:rsidRDefault="00B51F60" w:rsidP="00C630F6">
      <w:pPr>
        <w:tabs>
          <w:tab w:val="left" w:pos="284"/>
        </w:tabs>
      </w:pPr>
      <w:r w:rsidRPr="00845E11">
        <w:t>Lancashire County Council</w:t>
      </w:r>
    </w:p>
    <w:p w:rsidR="00AB7F56" w:rsidRPr="00F92FDE" w:rsidRDefault="00B51F60" w:rsidP="002C69C9">
      <w:pPr>
        <w:pStyle w:val="Heading1"/>
        <w:numPr>
          <w:ilvl w:val="0"/>
          <w:numId w:val="1"/>
        </w:numPr>
        <w:spacing w:after="120"/>
        <w:rPr>
          <w:rFonts w:ascii="Arial" w:hAnsi="Arial" w:cs="Arial"/>
        </w:rPr>
      </w:pPr>
      <w:r>
        <w:rPr>
          <w:rFonts w:ascii="Arial Bold" w:hAnsi="Arial Bold" w:cs="Arial"/>
          <w:highlight w:val="lightGray"/>
        </w:rPr>
        <w:br w:type="page"/>
      </w:r>
      <w:bookmarkStart w:id="1" w:name="Assessment"/>
      <w:bookmarkStart w:id="2" w:name="OLE_LINK3"/>
      <w:bookmarkStart w:id="3" w:name="OLE_LINK4"/>
      <w:r w:rsidRPr="00F92FDE">
        <w:rPr>
          <w:rFonts w:ascii="Arial" w:hAnsi="Arial" w:cs="Arial"/>
        </w:rPr>
        <w:lastRenderedPageBreak/>
        <w:t>Summary a</w:t>
      </w:r>
      <w:r>
        <w:rPr>
          <w:rFonts w:ascii="Arial" w:hAnsi="Arial" w:cs="Arial"/>
        </w:rPr>
        <w:t>ssessment</w:t>
      </w:r>
      <w:bookmarkEnd w:id="1"/>
      <w:r>
        <w:rPr>
          <w:rFonts w:ascii="Arial" w:hAnsi="Arial" w:cs="Arial"/>
        </w:rPr>
        <w:t xml:space="preserve"> of internal control</w:t>
      </w:r>
    </w:p>
    <w:p w:rsidR="00AB7F56" w:rsidRDefault="00B51F60" w:rsidP="00C630F6">
      <w:pPr>
        <w:pStyle w:val="Heading3"/>
        <w:tabs>
          <w:tab w:val="left" w:pos="284"/>
        </w:tabs>
        <w:spacing w:after="120"/>
        <w:rPr>
          <w:rFonts w:ascii="Arial" w:hAnsi="Arial" w:cs="Arial"/>
          <w:bCs w:val="0"/>
        </w:rPr>
      </w:pPr>
      <w:r>
        <w:rPr>
          <w:rFonts w:ascii="Arial" w:hAnsi="Arial" w:cs="Arial"/>
        </w:rPr>
        <w:t>Overall opinion</w:t>
      </w:r>
    </w:p>
    <w:p w:rsidR="001C4543" w:rsidRPr="00CC195D" w:rsidRDefault="00B51F60" w:rsidP="00864640">
      <w:pPr>
        <w:numPr>
          <w:ilvl w:val="1"/>
          <w:numId w:val="1"/>
        </w:numPr>
        <w:spacing w:before="120" w:after="120"/>
      </w:pPr>
      <w:r w:rsidRPr="00321827">
        <w:t xml:space="preserve">On the basis of our programme of work for the year, I can provide </w:t>
      </w:r>
      <w:r w:rsidRPr="00F0496E">
        <w:t>limited</w:t>
      </w:r>
      <w:r w:rsidRPr="00271990">
        <w:t xml:space="preserve"> assurance </w:t>
      </w:r>
      <w:r>
        <w:t>overall regarding the adequacy of design and effectiveness in operation of the organisation's framework of governance, risk management and control.</w:t>
      </w:r>
    </w:p>
    <w:p w:rsidR="00B30469" w:rsidRPr="00B30469" w:rsidRDefault="00B51F60" w:rsidP="00B30469">
      <w:pPr>
        <w:numPr>
          <w:ilvl w:val="1"/>
          <w:numId w:val="1"/>
        </w:numPr>
        <w:spacing w:before="120" w:after="120"/>
      </w:pPr>
      <w:r w:rsidRPr="00CC195D">
        <w:t>In forming my opinion I have considered the work undertaken by the Internal Audit Service throughout the year as well as, to a more limited extent, the work of external assurance providers.</w:t>
      </w:r>
      <w:r>
        <w:t xml:space="preserve"> As explained in the plan for the year, there are a number of areas of the council's business </w:t>
      </w:r>
      <w:r>
        <w:rPr>
          <w:rFonts w:cs="Arial"/>
        </w:rPr>
        <w:t>where management continued to make service and control improvements during 2016 and 2017 and these were therefore excluded from the scope of audit work for the year. Some of these areas are significant and have therefore affected the assurance I am able to provide overall.</w:t>
      </w:r>
    </w:p>
    <w:p w:rsidR="00AB7F56" w:rsidRPr="004C3855" w:rsidRDefault="00B51F60" w:rsidP="002C69C9">
      <w:pPr>
        <w:numPr>
          <w:ilvl w:val="1"/>
          <w:numId w:val="1"/>
        </w:numPr>
        <w:spacing w:before="120" w:after="120"/>
      </w:pPr>
      <w:r w:rsidRPr="004C3855">
        <w:t xml:space="preserve">Descriptions of the work we have done are set out below and an explanation of the levels of assurance the Internal Audit Service provides are set out in </w:t>
      </w:r>
      <w:r w:rsidR="00C6442D">
        <w:t>Appendic</w:t>
      </w:r>
      <w:r w:rsidRPr="006F2F4E">
        <w:t xml:space="preserve">es A and C. </w:t>
      </w:r>
      <w:r w:rsidR="00C6442D">
        <w:t>Appendix</w:t>
      </w:r>
      <w:r w:rsidRPr="006F2F4E">
        <w:t xml:space="preserve"> B </w:t>
      </w:r>
      <w:r w:rsidRPr="004C3855">
        <w:t>provides a table of each assurance assignment the team has undertaken durin</w:t>
      </w:r>
      <w:bookmarkStart w:id="4" w:name="_GoBack"/>
      <w:bookmarkEnd w:id="4"/>
      <w:r w:rsidRPr="004C3855">
        <w:t>g the year and the level of assu</w:t>
      </w:r>
      <w:r>
        <w:t>rance we have provided for each</w:t>
      </w:r>
      <w:r w:rsidRPr="004C3855">
        <w:t>.</w:t>
      </w:r>
    </w:p>
    <w:p w:rsidR="00633224" w:rsidRPr="00633224" w:rsidRDefault="00B51F60" w:rsidP="00633224">
      <w:pPr>
        <w:pStyle w:val="Heading3"/>
        <w:tabs>
          <w:tab w:val="left" w:pos="284"/>
        </w:tabs>
        <w:spacing w:after="120"/>
        <w:rPr>
          <w:rFonts w:ascii="Arial" w:hAnsi="Arial" w:cs="Arial"/>
        </w:rPr>
      </w:pPr>
      <w:r w:rsidRPr="00633224">
        <w:rPr>
          <w:rFonts w:ascii="Arial" w:hAnsi="Arial" w:cs="Arial"/>
        </w:rPr>
        <w:t>The council's control framework</w:t>
      </w:r>
    </w:p>
    <w:p w:rsidR="00AB7F56" w:rsidRDefault="00B51F60" w:rsidP="002C69C9">
      <w:pPr>
        <w:numPr>
          <w:ilvl w:val="1"/>
          <w:numId w:val="1"/>
        </w:numPr>
        <w:spacing w:before="120" w:after="120"/>
      </w:pPr>
      <w:r>
        <w:t>Our work has been organised in accordance with the Internal Audit Service's planning principles and an understanding of the council's controls at the start of the year, which was set out as follows:</w:t>
      </w:r>
    </w:p>
    <w:p w:rsidR="00452132" w:rsidRDefault="00B51F60" w:rsidP="002A1941">
      <w:pPr>
        <w:pStyle w:val="Ruthsbulletpoint"/>
        <w:numPr>
          <w:ilvl w:val="0"/>
          <w:numId w:val="0"/>
        </w:numPr>
        <w:ind w:left="567"/>
        <w:contextualSpacing w:val="0"/>
      </w:pPr>
      <w:r w:rsidRPr="006A1DB0">
        <w:rPr>
          <w:noProof/>
        </w:rPr>
        <w:drawing>
          <wp:inline distT="0" distB="0" distL="0" distR="0">
            <wp:extent cx="5925090" cy="3338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1071" cy="3347951"/>
                    </a:xfrm>
                    <a:prstGeom prst="rect">
                      <a:avLst/>
                    </a:prstGeom>
                    <a:noFill/>
                    <a:ln>
                      <a:noFill/>
                    </a:ln>
                  </pic:spPr>
                </pic:pic>
              </a:graphicData>
            </a:graphic>
          </wp:inline>
        </w:drawing>
      </w:r>
    </w:p>
    <w:p w:rsidR="002A1941" w:rsidRDefault="00B51F60">
      <w:pPr>
        <w:spacing w:before="0" w:after="0"/>
        <w:rPr>
          <w:rFonts w:cs="Arial"/>
          <w:b/>
          <w:bCs/>
          <w:sz w:val="26"/>
          <w:szCs w:val="26"/>
        </w:rPr>
      </w:pPr>
      <w:r>
        <w:rPr>
          <w:rFonts w:cs="Arial"/>
        </w:rPr>
        <w:br w:type="page"/>
      </w:r>
    </w:p>
    <w:p w:rsidR="00256C20" w:rsidRDefault="00B51F60" w:rsidP="00C630F6">
      <w:pPr>
        <w:pStyle w:val="Heading3"/>
        <w:tabs>
          <w:tab w:val="left" w:pos="284"/>
        </w:tabs>
        <w:spacing w:after="120"/>
        <w:rPr>
          <w:rFonts w:ascii="Arial" w:hAnsi="Arial" w:cs="Arial"/>
        </w:rPr>
      </w:pPr>
      <w:r>
        <w:rPr>
          <w:rFonts w:ascii="Arial" w:hAnsi="Arial" w:cs="Arial"/>
        </w:rPr>
        <w:lastRenderedPageBreak/>
        <w:t>Summary of assurance provided by the Internal Audit Service</w:t>
      </w:r>
    </w:p>
    <w:p w:rsidR="00452132" w:rsidRDefault="00B51F60" w:rsidP="000F224D">
      <w:pPr>
        <w:numPr>
          <w:ilvl w:val="1"/>
          <w:numId w:val="1"/>
        </w:numPr>
        <w:spacing w:before="120" w:after="120"/>
      </w:pPr>
      <w:r>
        <w:t xml:space="preserve">A summary of all the assurance we have provided during the year is provided in the table below. This includes each internal audit assignment directed to providing controls assurance, but it excludes work for example on the certification of grant funding claims and participation in working groups, </w:t>
      </w:r>
      <w:r>
        <w:rPr>
          <w:rFonts w:cs="Arial"/>
          <w:color w:val="000000" w:themeColor="text1"/>
        </w:rPr>
        <w:t xml:space="preserve">which </w:t>
      </w:r>
      <w:r w:rsidRPr="00C61E0E">
        <w:rPr>
          <w:rFonts w:cs="Arial"/>
          <w:color w:val="000000" w:themeColor="text1"/>
        </w:rPr>
        <w:t>has not been directed at providing controls assurance</w:t>
      </w:r>
      <w:r>
        <w:rPr>
          <w:rFonts w:cs="Arial"/>
          <w:color w:val="000000" w:themeColor="text1"/>
        </w:rPr>
        <w:t>.</w:t>
      </w:r>
    </w:p>
    <w:tbl>
      <w:tblPr>
        <w:tblStyle w:val="TableGrid"/>
        <w:tblW w:w="8505" w:type="dxa"/>
        <w:tblInd w:w="704" w:type="dxa"/>
        <w:tblLayout w:type="fixed"/>
        <w:tblLook w:val="04A0" w:firstRow="1" w:lastRow="0" w:firstColumn="1" w:lastColumn="0" w:noHBand="0" w:noVBand="1"/>
      </w:tblPr>
      <w:tblGrid>
        <w:gridCol w:w="3969"/>
        <w:gridCol w:w="851"/>
        <w:gridCol w:w="850"/>
        <w:gridCol w:w="1276"/>
        <w:gridCol w:w="850"/>
        <w:gridCol w:w="709"/>
      </w:tblGrid>
      <w:tr w:rsidR="00950C6E" w:rsidTr="002A1941">
        <w:tc>
          <w:tcPr>
            <w:tcW w:w="3969" w:type="dxa"/>
            <w:vMerge w:val="restart"/>
            <w:tcBorders>
              <w:top w:val="single" w:sz="4" w:space="0" w:color="auto"/>
              <w:left w:val="single" w:sz="4" w:space="0" w:color="auto"/>
            </w:tcBorders>
            <w:vAlign w:val="bottom"/>
          </w:tcPr>
          <w:p w:rsidR="00335491" w:rsidRPr="0089535E" w:rsidRDefault="00B51F60" w:rsidP="00335491">
            <w:pPr>
              <w:tabs>
                <w:tab w:val="left" w:pos="284"/>
              </w:tabs>
              <w:spacing w:line="240" w:lineRule="auto"/>
              <w:rPr>
                <w:b/>
                <w:sz w:val="22"/>
                <w:szCs w:val="22"/>
              </w:rPr>
            </w:pPr>
            <w:r w:rsidRPr="0089535E">
              <w:rPr>
                <w:b/>
                <w:sz w:val="22"/>
                <w:szCs w:val="22"/>
              </w:rPr>
              <w:t>Assignments relating to:</w:t>
            </w:r>
          </w:p>
        </w:tc>
        <w:tc>
          <w:tcPr>
            <w:tcW w:w="851" w:type="dxa"/>
            <w:vMerge w:val="restart"/>
          </w:tcPr>
          <w:p w:rsidR="00335491" w:rsidRPr="00B665BF" w:rsidRDefault="00B51F60" w:rsidP="00335491">
            <w:pPr>
              <w:tabs>
                <w:tab w:val="left" w:pos="284"/>
              </w:tabs>
              <w:spacing w:line="240" w:lineRule="auto"/>
              <w:jc w:val="center"/>
              <w:rPr>
                <w:b/>
                <w:sz w:val="20"/>
                <w:szCs w:val="20"/>
              </w:rPr>
            </w:pPr>
            <w:r>
              <w:rPr>
                <w:b/>
                <w:sz w:val="20"/>
                <w:szCs w:val="20"/>
              </w:rPr>
              <w:t>Total audits</w:t>
            </w:r>
          </w:p>
        </w:tc>
        <w:tc>
          <w:tcPr>
            <w:tcW w:w="3685" w:type="dxa"/>
            <w:gridSpan w:val="4"/>
          </w:tcPr>
          <w:p w:rsidR="00335491" w:rsidRPr="00B665BF" w:rsidRDefault="00B51F60" w:rsidP="00335491">
            <w:pPr>
              <w:tabs>
                <w:tab w:val="left" w:pos="284"/>
              </w:tabs>
              <w:spacing w:line="240" w:lineRule="auto"/>
              <w:jc w:val="center"/>
              <w:rPr>
                <w:b/>
                <w:sz w:val="20"/>
                <w:szCs w:val="20"/>
              </w:rPr>
            </w:pPr>
            <w:r w:rsidRPr="00B665BF">
              <w:rPr>
                <w:b/>
                <w:sz w:val="20"/>
                <w:szCs w:val="20"/>
              </w:rPr>
              <w:t>Assurance</w:t>
            </w:r>
          </w:p>
        </w:tc>
      </w:tr>
      <w:tr w:rsidR="00950C6E" w:rsidTr="002A1941">
        <w:trPr>
          <w:trHeight w:val="217"/>
        </w:trPr>
        <w:tc>
          <w:tcPr>
            <w:tcW w:w="3969" w:type="dxa"/>
            <w:vMerge/>
            <w:tcBorders>
              <w:left w:val="single" w:sz="4" w:space="0" w:color="auto"/>
            </w:tcBorders>
          </w:tcPr>
          <w:p w:rsidR="00335491" w:rsidRPr="0089535E" w:rsidRDefault="00C6442D" w:rsidP="00335491">
            <w:pPr>
              <w:tabs>
                <w:tab w:val="left" w:pos="284"/>
              </w:tabs>
              <w:spacing w:line="240" w:lineRule="auto"/>
              <w:rPr>
                <w:b/>
                <w:sz w:val="22"/>
                <w:szCs w:val="22"/>
              </w:rPr>
            </w:pPr>
          </w:p>
        </w:tc>
        <w:tc>
          <w:tcPr>
            <w:tcW w:w="851" w:type="dxa"/>
            <w:vMerge/>
          </w:tcPr>
          <w:p w:rsidR="00335491" w:rsidRPr="00F60598" w:rsidRDefault="00C6442D" w:rsidP="00335491">
            <w:pPr>
              <w:tabs>
                <w:tab w:val="left" w:pos="284"/>
              </w:tabs>
              <w:spacing w:line="240" w:lineRule="auto"/>
              <w:jc w:val="center"/>
              <w:rPr>
                <w:b/>
                <w:sz w:val="20"/>
                <w:szCs w:val="20"/>
              </w:rPr>
            </w:pPr>
          </w:p>
        </w:tc>
        <w:tc>
          <w:tcPr>
            <w:tcW w:w="850" w:type="dxa"/>
            <w:tcMar>
              <w:left w:w="57" w:type="dxa"/>
              <w:right w:w="57" w:type="dxa"/>
            </w:tcMar>
          </w:tcPr>
          <w:p w:rsidR="00335491" w:rsidRPr="00F60598" w:rsidRDefault="00B51F60" w:rsidP="00335491">
            <w:pPr>
              <w:tabs>
                <w:tab w:val="left" w:pos="284"/>
              </w:tabs>
              <w:spacing w:line="240" w:lineRule="auto"/>
              <w:jc w:val="center"/>
              <w:rPr>
                <w:b/>
                <w:sz w:val="20"/>
                <w:szCs w:val="20"/>
              </w:rPr>
            </w:pPr>
            <w:r w:rsidRPr="00F60598">
              <w:rPr>
                <w:b/>
                <w:sz w:val="20"/>
                <w:szCs w:val="20"/>
              </w:rPr>
              <w:t>Full</w:t>
            </w:r>
          </w:p>
        </w:tc>
        <w:tc>
          <w:tcPr>
            <w:tcW w:w="1276" w:type="dxa"/>
            <w:tcMar>
              <w:left w:w="57" w:type="dxa"/>
              <w:right w:w="57" w:type="dxa"/>
            </w:tcMar>
          </w:tcPr>
          <w:p w:rsidR="00335491" w:rsidRPr="00F60598" w:rsidRDefault="00B51F60" w:rsidP="00335491">
            <w:pPr>
              <w:tabs>
                <w:tab w:val="left" w:pos="284"/>
              </w:tabs>
              <w:spacing w:line="240" w:lineRule="auto"/>
              <w:jc w:val="center"/>
              <w:rPr>
                <w:b/>
                <w:sz w:val="20"/>
                <w:szCs w:val="20"/>
              </w:rPr>
            </w:pPr>
            <w:r w:rsidRPr="00F60598">
              <w:rPr>
                <w:b/>
                <w:sz w:val="20"/>
                <w:szCs w:val="20"/>
              </w:rPr>
              <w:t>Substantial</w:t>
            </w:r>
          </w:p>
        </w:tc>
        <w:tc>
          <w:tcPr>
            <w:tcW w:w="850" w:type="dxa"/>
            <w:tcMar>
              <w:left w:w="57" w:type="dxa"/>
              <w:right w:w="57" w:type="dxa"/>
            </w:tcMar>
          </w:tcPr>
          <w:p w:rsidR="00335491" w:rsidRPr="00F60598" w:rsidRDefault="00B51F60" w:rsidP="00335491">
            <w:pPr>
              <w:tabs>
                <w:tab w:val="left" w:pos="284"/>
              </w:tabs>
              <w:spacing w:line="240" w:lineRule="auto"/>
              <w:jc w:val="center"/>
              <w:rPr>
                <w:b/>
                <w:sz w:val="20"/>
                <w:szCs w:val="20"/>
              </w:rPr>
            </w:pPr>
            <w:r w:rsidRPr="00F60598">
              <w:rPr>
                <w:b/>
                <w:sz w:val="20"/>
                <w:szCs w:val="20"/>
              </w:rPr>
              <w:t>Limited</w:t>
            </w:r>
          </w:p>
        </w:tc>
        <w:tc>
          <w:tcPr>
            <w:tcW w:w="709" w:type="dxa"/>
            <w:tcMar>
              <w:left w:w="57" w:type="dxa"/>
              <w:right w:w="57" w:type="dxa"/>
            </w:tcMar>
          </w:tcPr>
          <w:p w:rsidR="00335491" w:rsidRPr="00F60598" w:rsidRDefault="00B51F60" w:rsidP="00335491">
            <w:pPr>
              <w:tabs>
                <w:tab w:val="left" w:pos="284"/>
              </w:tabs>
              <w:spacing w:line="240" w:lineRule="auto"/>
              <w:jc w:val="center"/>
              <w:rPr>
                <w:b/>
                <w:sz w:val="20"/>
                <w:szCs w:val="20"/>
              </w:rPr>
            </w:pPr>
            <w:r w:rsidRPr="00F60598">
              <w:rPr>
                <w:b/>
                <w:sz w:val="20"/>
                <w:szCs w:val="20"/>
              </w:rPr>
              <w:t>N</w:t>
            </w:r>
            <w:r>
              <w:rPr>
                <w:b/>
                <w:sz w:val="20"/>
                <w:szCs w:val="20"/>
              </w:rPr>
              <w:t>one</w:t>
            </w:r>
          </w:p>
        </w:tc>
      </w:tr>
      <w:tr w:rsidR="00950C6E" w:rsidTr="002A1941">
        <w:tc>
          <w:tcPr>
            <w:tcW w:w="3969" w:type="dxa"/>
          </w:tcPr>
          <w:p w:rsidR="002D7F0C" w:rsidRPr="00CD6FA9" w:rsidRDefault="00B51F60" w:rsidP="00335491">
            <w:pPr>
              <w:tabs>
                <w:tab w:val="left" w:pos="284"/>
              </w:tabs>
              <w:spacing w:line="240" w:lineRule="auto"/>
              <w:rPr>
                <w:sz w:val="22"/>
                <w:szCs w:val="22"/>
              </w:rPr>
            </w:pPr>
            <w:r>
              <w:rPr>
                <w:sz w:val="22"/>
                <w:szCs w:val="22"/>
              </w:rPr>
              <w:t>Governance and democratic oversight</w:t>
            </w:r>
          </w:p>
        </w:tc>
        <w:tc>
          <w:tcPr>
            <w:tcW w:w="851" w:type="dxa"/>
          </w:tcPr>
          <w:p w:rsidR="002D7F0C" w:rsidRPr="00391029" w:rsidRDefault="00B51F60" w:rsidP="00335491">
            <w:pPr>
              <w:tabs>
                <w:tab w:val="left" w:pos="284"/>
              </w:tabs>
              <w:spacing w:line="240" w:lineRule="auto"/>
              <w:jc w:val="center"/>
              <w:rPr>
                <w:sz w:val="22"/>
                <w:szCs w:val="22"/>
              </w:rPr>
            </w:pPr>
            <w:r>
              <w:rPr>
                <w:sz w:val="22"/>
                <w:szCs w:val="22"/>
              </w:rPr>
              <w:t>1</w:t>
            </w:r>
          </w:p>
        </w:tc>
        <w:tc>
          <w:tcPr>
            <w:tcW w:w="850" w:type="dxa"/>
          </w:tcPr>
          <w:p w:rsidR="002D7F0C" w:rsidRPr="00391029" w:rsidRDefault="00C6442D" w:rsidP="00335491">
            <w:pPr>
              <w:tabs>
                <w:tab w:val="left" w:pos="284"/>
              </w:tabs>
              <w:spacing w:line="240" w:lineRule="auto"/>
              <w:jc w:val="center"/>
              <w:rPr>
                <w:sz w:val="22"/>
                <w:szCs w:val="22"/>
              </w:rPr>
            </w:pPr>
          </w:p>
        </w:tc>
        <w:tc>
          <w:tcPr>
            <w:tcW w:w="1276" w:type="dxa"/>
          </w:tcPr>
          <w:p w:rsidR="002D7F0C" w:rsidRPr="00391029" w:rsidRDefault="00B51F60" w:rsidP="00335491">
            <w:pPr>
              <w:tabs>
                <w:tab w:val="left" w:pos="284"/>
              </w:tabs>
              <w:spacing w:line="240" w:lineRule="auto"/>
              <w:jc w:val="center"/>
              <w:rPr>
                <w:sz w:val="22"/>
                <w:szCs w:val="22"/>
              </w:rPr>
            </w:pPr>
            <w:r>
              <w:rPr>
                <w:sz w:val="22"/>
                <w:szCs w:val="22"/>
              </w:rPr>
              <w:t>1</w:t>
            </w:r>
          </w:p>
        </w:tc>
        <w:tc>
          <w:tcPr>
            <w:tcW w:w="850" w:type="dxa"/>
          </w:tcPr>
          <w:p w:rsidR="002D7F0C" w:rsidRPr="00391029" w:rsidRDefault="00C6442D" w:rsidP="00335491">
            <w:pPr>
              <w:tabs>
                <w:tab w:val="left" w:pos="284"/>
              </w:tabs>
              <w:spacing w:line="240" w:lineRule="auto"/>
              <w:jc w:val="center"/>
              <w:rPr>
                <w:sz w:val="22"/>
                <w:szCs w:val="22"/>
              </w:rPr>
            </w:pPr>
          </w:p>
        </w:tc>
        <w:tc>
          <w:tcPr>
            <w:tcW w:w="709" w:type="dxa"/>
          </w:tcPr>
          <w:p w:rsidR="002D7F0C" w:rsidRPr="00391029" w:rsidRDefault="00C6442D" w:rsidP="00335491">
            <w:pPr>
              <w:tabs>
                <w:tab w:val="left" w:pos="284"/>
              </w:tabs>
              <w:spacing w:line="240" w:lineRule="auto"/>
              <w:jc w:val="center"/>
              <w:rPr>
                <w:sz w:val="22"/>
                <w:szCs w:val="22"/>
              </w:rPr>
            </w:pPr>
          </w:p>
        </w:tc>
      </w:tr>
      <w:tr w:rsidR="00950C6E" w:rsidTr="002A1941">
        <w:tc>
          <w:tcPr>
            <w:tcW w:w="3969" w:type="dxa"/>
          </w:tcPr>
          <w:p w:rsidR="002D7F0C" w:rsidRPr="00CD6FA9" w:rsidRDefault="00B51F60" w:rsidP="00335491">
            <w:pPr>
              <w:tabs>
                <w:tab w:val="left" w:pos="284"/>
              </w:tabs>
              <w:spacing w:line="240" w:lineRule="auto"/>
              <w:rPr>
                <w:sz w:val="22"/>
                <w:szCs w:val="22"/>
              </w:rPr>
            </w:pPr>
            <w:r>
              <w:rPr>
                <w:sz w:val="22"/>
                <w:szCs w:val="22"/>
              </w:rPr>
              <w:t>Business effectiveness</w:t>
            </w:r>
            <w:r w:rsidRPr="00CD6FA9">
              <w:rPr>
                <w:sz w:val="22"/>
                <w:szCs w:val="22"/>
              </w:rPr>
              <w:t xml:space="preserve"> </w:t>
            </w:r>
          </w:p>
        </w:tc>
        <w:tc>
          <w:tcPr>
            <w:tcW w:w="851" w:type="dxa"/>
          </w:tcPr>
          <w:p w:rsidR="002D7F0C" w:rsidRPr="00391029" w:rsidRDefault="00B51F60" w:rsidP="00335491">
            <w:pPr>
              <w:tabs>
                <w:tab w:val="left" w:pos="284"/>
              </w:tabs>
              <w:spacing w:line="240" w:lineRule="auto"/>
              <w:jc w:val="center"/>
              <w:rPr>
                <w:sz w:val="22"/>
                <w:szCs w:val="22"/>
              </w:rPr>
            </w:pPr>
            <w:r>
              <w:rPr>
                <w:sz w:val="22"/>
                <w:szCs w:val="22"/>
              </w:rPr>
              <w:t>4</w:t>
            </w:r>
          </w:p>
        </w:tc>
        <w:tc>
          <w:tcPr>
            <w:tcW w:w="850" w:type="dxa"/>
          </w:tcPr>
          <w:p w:rsidR="002D7F0C" w:rsidRPr="00391029" w:rsidRDefault="00C6442D" w:rsidP="00335491">
            <w:pPr>
              <w:tabs>
                <w:tab w:val="left" w:pos="284"/>
              </w:tabs>
              <w:spacing w:line="240" w:lineRule="auto"/>
              <w:jc w:val="center"/>
              <w:rPr>
                <w:sz w:val="22"/>
                <w:szCs w:val="22"/>
              </w:rPr>
            </w:pPr>
          </w:p>
        </w:tc>
        <w:tc>
          <w:tcPr>
            <w:tcW w:w="1276" w:type="dxa"/>
          </w:tcPr>
          <w:p w:rsidR="002D7F0C" w:rsidRPr="00391029" w:rsidRDefault="00B51F60" w:rsidP="00335491">
            <w:pPr>
              <w:tabs>
                <w:tab w:val="left" w:pos="284"/>
              </w:tabs>
              <w:spacing w:line="240" w:lineRule="auto"/>
              <w:jc w:val="center"/>
              <w:rPr>
                <w:sz w:val="22"/>
                <w:szCs w:val="22"/>
              </w:rPr>
            </w:pPr>
            <w:r>
              <w:rPr>
                <w:sz w:val="22"/>
                <w:szCs w:val="22"/>
              </w:rPr>
              <w:t>3</w:t>
            </w:r>
          </w:p>
        </w:tc>
        <w:tc>
          <w:tcPr>
            <w:tcW w:w="850" w:type="dxa"/>
          </w:tcPr>
          <w:p w:rsidR="002D7F0C" w:rsidRPr="00391029" w:rsidRDefault="00B51F60" w:rsidP="00335491">
            <w:pPr>
              <w:tabs>
                <w:tab w:val="left" w:pos="284"/>
              </w:tabs>
              <w:spacing w:line="240" w:lineRule="auto"/>
              <w:jc w:val="center"/>
              <w:rPr>
                <w:sz w:val="22"/>
                <w:szCs w:val="22"/>
              </w:rPr>
            </w:pPr>
            <w:r>
              <w:rPr>
                <w:sz w:val="22"/>
                <w:szCs w:val="22"/>
              </w:rPr>
              <w:t>1</w:t>
            </w:r>
          </w:p>
        </w:tc>
        <w:tc>
          <w:tcPr>
            <w:tcW w:w="709" w:type="dxa"/>
          </w:tcPr>
          <w:p w:rsidR="002D7F0C" w:rsidRPr="00391029" w:rsidRDefault="00C6442D" w:rsidP="00335491">
            <w:pPr>
              <w:tabs>
                <w:tab w:val="left" w:pos="284"/>
              </w:tabs>
              <w:spacing w:line="240" w:lineRule="auto"/>
              <w:jc w:val="center"/>
              <w:rPr>
                <w:sz w:val="22"/>
                <w:szCs w:val="22"/>
              </w:rPr>
            </w:pPr>
          </w:p>
        </w:tc>
      </w:tr>
      <w:tr w:rsidR="00950C6E" w:rsidTr="002A1941">
        <w:tc>
          <w:tcPr>
            <w:tcW w:w="3969" w:type="dxa"/>
            <w:tcBorders>
              <w:bottom w:val="single" w:sz="4" w:space="0" w:color="auto"/>
            </w:tcBorders>
          </w:tcPr>
          <w:p w:rsidR="002D7F0C" w:rsidRPr="00CD6FA9" w:rsidRDefault="00B51F60" w:rsidP="00335491">
            <w:pPr>
              <w:tabs>
                <w:tab w:val="left" w:pos="284"/>
              </w:tabs>
              <w:spacing w:line="240" w:lineRule="auto"/>
              <w:rPr>
                <w:sz w:val="22"/>
                <w:szCs w:val="22"/>
              </w:rPr>
            </w:pPr>
            <w:r w:rsidRPr="00CD6FA9">
              <w:rPr>
                <w:sz w:val="22"/>
                <w:szCs w:val="22"/>
              </w:rPr>
              <w:t>Service</w:t>
            </w:r>
            <w:r>
              <w:rPr>
                <w:sz w:val="22"/>
                <w:szCs w:val="22"/>
              </w:rPr>
              <w:t xml:space="preserve"> delivery</w:t>
            </w:r>
          </w:p>
        </w:tc>
        <w:tc>
          <w:tcPr>
            <w:tcW w:w="851" w:type="dxa"/>
            <w:tcBorders>
              <w:bottom w:val="single" w:sz="4" w:space="0" w:color="auto"/>
            </w:tcBorders>
          </w:tcPr>
          <w:p w:rsidR="002D7F0C" w:rsidRPr="00391029" w:rsidRDefault="00B51F60" w:rsidP="00335491">
            <w:pPr>
              <w:tabs>
                <w:tab w:val="left" w:pos="284"/>
              </w:tabs>
              <w:spacing w:line="240" w:lineRule="auto"/>
              <w:jc w:val="center"/>
              <w:rPr>
                <w:sz w:val="22"/>
                <w:szCs w:val="22"/>
              </w:rPr>
            </w:pPr>
            <w:r>
              <w:rPr>
                <w:sz w:val="22"/>
                <w:szCs w:val="22"/>
              </w:rPr>
              <w:t>16</w:t>
            </w:r>
          </w:p>
        </w:tc>
        <w:tc>
          <w:tcPr>
            <w:tcW w:w="850" w:type="dxa"/>
            <w:tcBorders>
              <w:bottom w:val="single" w:sz="4" w:space="0" w:color="auto"/>
            </w:tcBorders>
          </w:tcPr>
          <w:p w:rsidR="002D7F0C" w:rsidRPr="00391029" w:rsidRDefault="00B51F60" w:rsidP="00335491">
            <w:pPr>
              <w:tabs>
                <w:tab w:val="left" w:pos="284"/>
              </w:tabs>
              <w:spacing w:line="240" w:lineRule="auto"/>
              <w:jc w:val="center"/>
              <w:rPr>
                <w:sz w:val="22"/>
                <w:szCs w:val="22"/>
              </w:rPr>
            </w:pPr>
            <w:r>
              <w:rPr>
                <w:sz w:val="22"/>
                <w:szCs w:val="22"/>
              </w:rPr>
              <w:t>1</w:t>
            </w:r>
          </w:p>
        </w:tc>
        <w:tc>
          <w:tcPr>
            <w:tcW w:w="1276" w:type="dxa"/>
            <w:tcBorders>
              <w:bottom w:val="single" w:sz="4" w:space="0" w:color="auto"/>
            </w:tcBorders>
          </w:tcPr>
          <w:p w:rsidR="002D7F0C" w:rsidRPr="00391029" w:rsidRDefault="00B51F60" w:rsidP="00335491">
            <w:pPr>
              <w:tabs>
                <w:tab w:val="left" w:pos="284"/>
              </w:tabs>
              <w:spacing w:line="240" w:lineRule="auto"/>
              <w:jc w:val="center"/>
              <w:rPr>
                <w:sz w:val="22"/>
                <w:szCs w:val="22"/>
              </w:rPr>
            </w:pPr>
            <w:r>
              <w:rPr>
                <w:sz w:val="22"/>
                <w:szCs w:val="22"/>
              </w:rPr>
              <w:t>14</w:t>
            </w:r>
          </w:p>
        </w:tc>
        <w:tc>
          <w:tcPr>
            <w:tcW w:w="850" w:type="dxa"/>
            <w:tcBorders>
              <w:bottom w:val="single" w:sz="4" w:space="0" w:color="auto"/>
            </w:tcBorders>
          </w:tcPr>
          <w:p w:rsidR="002D7F0C" w:rsidRPr="00391029" w:rsidRDefault="00B51F60" w:rsidP="00335491">
            <w:pPr>
              <w:tabs>
                <w:tab w:val="left" w:pos="284"/>
              </w:tabs>
              <w:spacing w:line="240" w:lineRule="auto"/>
              <w:jc w:val="center"/>
              <w:rPr>
                <w:sz w:val="22"/>
                <w:szCs w:val="22"/>
              </w:rPr>
            </w:pPr>
            <w:r>
              <w:rPr>
                <w:sz w:val="22"/>
                <w:szCs w:val="22"/>
              </w:rPr>
              <w:t>1</w:t>
            </w:r>
          </w:p>
        </w:tc>
        <w:tc>
          <w:tcPr>
            <w:tcW w:w="709" w:type="dxa"/>
            <w:tcBorders>
              <w:bottom w:val="single" w:sz="4" w:space="0" w:color="auto"/>
            </w:tcBorders>
          </w:tcPr>
          <w:p w:rsidR="002D7F0C" w:rsidRPr="00391029" w:rsidRDefault="00C6442D" w:rsidP="00335491">
            <w:pPr>
              <w:tabs>
                <w:tab w:val="left" w:pos="284"/>
              </w:tabs>
              <w:spacing w:line="240" w:lineRule="auto"/>
              <w:jc w:val="center"/>
              <w:rPr>
                <w:sz w:val="22"/>
                <w:szCs w:val="22"/>
              </w:rPr>
            </w:pPr>
          </w:p>
        </w:tc>
      </w:tr>
      <w:tr w:rsidR="00950C6E" w:rsidTr="002A1941">
        <w:tc>
          <w:tcPr>
            <w:tcW w:w="3969" w:type="dxa"/>
            <w:tcBorders>
              <w:bottom w:val="single" w:sz="4" w:space="0" w:color="auto"/>
            </w:tcBorders>
          </w:tcPr>
          <w:p w:rsidR="002D7F0C" w:rsidRPr="00CD6FA9" w:rsidRDefault="00B51F60" w:rsidP="00335491">
            <w:pPr>
              <w:tabs>
                <w:tab w:val="left" w:pos="284"/>
              </w:tabs>
              <w:spacing w:line="240" w:lineRule="auto"/>
              <w:rPr>
                <w:sz w:val="22"/>
                <w:szCs w:val="22"/>
              </w:rPr>
            </w:pPr>
            <w:r>
              <w:rPr>
                <w:sz w:val="22"/>
                <w:szCs w:val="22"/>
              </w:rPr>
              <w:t>Service support</w:t>
            </w:r>
          </w:p>
        </w:tc>
        <w:tc>
          <w:tcPr>
            <w:tcW w:w="851" w:type="dxa"/>
            <w:tcBorders>
              <w:bottom w:val="single" w:sz="4" w:space="0" w:color="auto"/>
            </w:tcBorders>
          </w:tcPr>
          <w:p w:rsidR="002D7F0C" w:rsidRPr="00391029" w:rsidRDefault="00B51F60" w:rsidP="00335491">
            <w:pPr>
              <w:tabs>
                <w:tab w:val="left" w:pos="284"/>
              </w:tabs>
              <w:spacing w:line="240" w:lineRule="auto"/>
              <w:jc w:val="center"/>
              <w:rPr>
                <w:sz w:val="22"/>
                <w:szCs w:val="22"/>
              </w:rPr>
            </w:pPr>
            <w:r>
              <w:rPr>
                <w:sz w:val="22"/>
                <w:szCs w:val="22"/>
              </w:rPr>
              <w:t>1</w:t>
            </w:r>
          </w:p>
        </w:tc>
        <w:tc>
          <w:tcPr>
            <w:tcW w:w="850" w:type="dxa"/>
            <w:tcBorders>
              <w:bottom w:val="single" w:sz="4" w:space="0" w:color="auto"/>
            </w:tcBorders>
          </w:tcPr>
          <w:p w:rsidR="002D7F0C" w:rsidRPr="00391029" w:rsidRDefault="00C6442D" w:rsidP="00335491">
            <w:pPr>
              <w:tabs>
                <w:tab w:val="left" w:pos="284"/>
              </w:tabs>
              <w:spacing w:line="240" w:lineRule="auto"/>
              <w:jc w:val="center"/>
              <w:rPr>
                <w:sz w:val="22"/>
                <w:szCs w:val="22"/>
              </w:rPr>
            </w:pPr>
          </w:p>
        </w:tc>
        <w:tc>
          <w:tcPr>
            <w:tcW w:w="1276" w:type="dxa"/>
            <w:tcBorders>
              <w:bottom w:val="single" w:sz="4" w:space="0" w:color="auto"/>
            </w:tcBorders>
          </w:tcPr>
          <w:p w:rsidR="002D7F0C" w:rsidRPr="00391029" w:rsidRDefault="00B51F60" w:rsidP="00335491">
            <w:pPr>
              <w:tabs>
                <w:tab w:val="left" w:pos="284"/>
              </w:tabs>
              <w:spacing w:line="240" w:lineRule="auto"/>
              <w:jc w:val="center"/>
              <w:rPr>
                <w:sz w:val="22"/>
                <w:szCs w:val="22"/>
              </w:rPr>
            </w:pPr>
            <w:r>
              <w:rPr>
                <w:sz w:val="22"/>
                <w:szCs w:val="22"/>
              </w:rPr>
              <w:t>1</w:t>
            </w:r>
          </w:p>
        </w:tc>
        <w:tc>
          <w:tcPr>
            <w:tcW w:w="850" w:type="dxa"/>
            <w:tcBorders>
              <w:bottom w:val="single" w:sz="4" w:space="0" w:color="auto"/>
            </w:tcBorders>
          </w:tcPr>
          <w:p w:rsidR="002D7F0C" w:rsidRPr="00391029" w:rsidRDefault="00C6442D" w:rsidP="00335491">
            <w:pPr>
              <w:tabs>
                <w:tab w:val="left" w:pos="284"/>
              </w:tabs>
              <w:spacing w:line="240" w:lineRule="auto"/>
              <w:jc w:val="center"/>
              <w:rPr>
                <w:sz w:val="22"/>
                <w:szCs w:val="22"/>
              </w:rPr>
            </w:pPr>
          </w:p>
        </w:tc>
        <w:tc>
          <w:tcPr>
            <w:tcW w:w="709" w:type="dxa"/>
            <w:tcBorders>
              <w:bottom w:val="single" w:sz="4" w:space="0" w:color="auto"/>
            </w:tcBorders>
          </w:tcPr>
          <w:p w:rsidR="002D7F0C" w:rsidRPr="00391029" w:rsidRDefault="00C6442D" w:rsidP="00335491">
            <w:pPr>
              <w:tabs>
                <w:tab w:val="left" w:pos="284"/>
              </w:tabs>
              <w:spacing w:line="240" w:lineRule="auto"/>
              <w:jc w:val="center"/>
              <w:rPr>
                <w:sz w:val="22"/>
                <w:szCs w:val="22"/>
              </w:rPr>
            </w:pPr>
          </w:p>
        </w:tc>
      </w:tr>
      <w:tr w:rsidR="00950C6E" w:rsidTr="002A1941">
        <w:tc>
          <w:tcPr>
            <w:tcW w:w="3969" w:type="dxa"/>
            <w:tcBorders>
              <w:bottom w:val="single" w:sz="4" w:space="0" w:color="auto"/>
            </w:tcBorders>
          </w:tcPr>
          <w:p w:rsidR="002D7F0C" w:rsidRDefault="00B51F60" w:rsidP="00335491">
            <w:pPr>
              <w:tabs>
                <w:tab w:val="left" w:pos="284"/>
              </w:tabs>
              <w:spacing w:line="240" w:lineRule="auto"/>
              <w:rPr>
                <w:sz w:val="22"/>
                <w:szCs w:val="22"/>
              </w:rPr>
            </w:pPr>
            <w:r>
              <w:rPr>
                <w:sz w:val="22"/>
                <w:szCs w:val="22"/>
              </w:rPr>
              <w:t>Business processes</w:t>
            </w:r>
          </w:p>
        </w:tc>
        <w:tc>
          <w:tcPr>
            <w:tcW w:w="851" w:type="dxa"/>
            <w:tcBorders>
              <w:bottom w:val="single" w:sz="4" w:space="0" w:color="auto"/>
            </w:tcBorders>
          </w:tcPr>
          <w:p w:rsidR="002D7F0C" w:rsidRPr="00391029" w:rsidRDefault="00B51F60" w:rsidP="00335491">
            <w:pPr>
              <w:tabs>
                <w:tab w:val="left" w:pos="284"/>
              </w:tabs>
              <w:spacing w:line="240" w:lineRule="auto"/>
              <w:jc w:val="center"/>
              <w:rPr>
                <w:sz w:val="22"/>
                <w:szCs w:val="22"/>
              </w:rPr>
            </w:pPr>
            <w:r>
              <w:rPr>
                <w:sz w:val="22"/>
                <w:szCs w:val="22"/>
              </w:rPr>
              <w:t>9</w:t>
            </w:r>
          </w:p>
        </w:tc>
        <w:tc>
          <w:tcPr>
            <w:tcW w:w="850" w:type="dxa"/>
            <w:tcBorders>
              <w:bottom w:val="single" w:sz="4" w:space="0" w:color="auto"/>
            </w:tcBorders>
          </w:tcPr>
          <w:p w:rsidR="002D7F0C" w:rsidRPr="00391029" w:rsidRDefault="00B51F60" w:rsidP="00335491">
            <w:pPr>
              <w:tabs>
                <w:tab w:val="left" w:pos="284"/>
              </w:tabs>
              <w:spacing w:line="240" w:lineRule="auto"/>
              <w:jc w:val="center"/>
              <w:rPr>
                <w:sz w:val="22"/>
                <w:szCs w:val="22"/>
              </w:rPr>
            </w:pPr>
            <w:r>
              <w:rPr>
                <w:sz w:val="22"/>
                <w:szCs w:val="22"/>
              </w:rPr>
              <w:t>2</w:t>
            </w:r>
          </w:p>
        </w:tc>
        <w:tc>
          <w:tcPr>
            <w:tcW w:w="1276" w:type="dxa"/>
            <w:tcBorders>
              <w:bottom w:val="single" w:sz="4" w:space="0" w:color="auto"/>
            </w:tcBorders>
          </w:tcPr>
          <w:p w:rsidR="002D7F0C" w:rsidRPr="00391029" w:rsidRDefault="00B51F60" w:rsidP="00335491">
            <w:pPr>
              <w:tabs>
                <w:tab w:val="left" w:pos="284"/>
              </w:tabs>
              <w:spacing w:line="240" w:lineRule="auto"/>
              <w:jc w:val="center"/>
              <w:rPr>
                <w:sz w:val="22"/>
                <w:szCs w:val="22"/>
              </w:rPr>
            </w:pPr>
            <w:r>
              <w:rPr>
                <w:sz w:val="22"/>
                <w:szCs w:val="22"/>
              </w:rPr>
              <w:t>5</w:t>
            </w:r>
          </w:p>
        </w:tc>
        <w:tc>
          <w:tcPr>
            <w:tcW w:w="850" w:type="dxa"/>
            <w:tcBorders>
              <w:bottom w:val="single" w:sz="4" w:space="0" w:color="auto"/>
            </w:tcBorders>
          </w:tcPr>
          <w:p w:rsidR="002D7F0C" w:rsidRPr="00391029" w:rsidRDefault="00B51F60" w:rsidP="00335491">
            <w:pPr>
              <w:tabs>
                <w:tab w:val="left" w:pos="284"/>
              </w:tabs>
              <w:spacing w:line="240" w:lineRule="auto"/>
              <w:jc w:val="center"/>
              <w:rPr>
                <w:sz w:val="22"/>
                <w:szCs w:val="22"/>
              </w:rPr>
            </w:pPr>
            <w:r>
              <w:rPr>
                <w:sz w:val="22"/>
                <w:szCs w:val="22"/>
              </w:rPr>
              <w:t>2</w:t>
            </w:r>
          </w:p>
        </w:tc>
        <w:tc>
          <w:tcPr>
            <w:tcW w:w="709" w:type="dxa"/>
            <w:tcBorders>
              <w:bottom w:val="single" w:sz="4" w:space="0" w:color="auto"/>
            </w:tcBorders>
          </w:tcPr>
          <w:p w:rsidR="002D7F0C" w:rsidRPr="00391029" w:rsidRDefault="00C6442D" w:rsidP="00335491">
            <w:pPr>
              <w:tabs>
                <w:tab w:val="left" w:pos="284"/>
              </w:tabs>
              <w:spacing w:line="240" w:lineRule="auto"/>
              <w:jc w:val="center"/>
              <w:rPr>
                <w:sz w:val="22"/>
                <w:szCs w:val="22"/>
              </w:rPr>
            </w:pPr>
          </w:p>
        </w:tc>
      </w:tr>
      <w:tr w:rsidR="00950C6E" w:rsidTr="002A1941">
        <w:tc>
          <w:tcPr>
            <w:tcW w:w="3969" w:type="dxa"/>
            <w:tcBorders>
              <w:bottom w:val="single" w:sz="4" w:space="0" w:color="auto"/>
            </w:tcBorders>
          </w:tcPr>
          <w:p w:rsidR="002D7F0C" w:rsidRPr="00CD6FA9" w:rsidRDefault="00B51F60" w:rsidP="00335491">
            <w:pPr>
              <w:tabs>
                <w:tab w:val="left" w:pos="284"/>
              </w:tabs>
              <w:spacing w:line="240" w:lineRule="auto"/>
              <w:rPr>
                <w:b/>
                <w:sz w:val="22"/>
                <w:szCs w:val="22"/>
              </w:rPr>
            </w:pPr>
            <w:r w:rsidRPr="00CD6FA9">
              <w:rPr>
                <w:b/>
                <w:sz w:val="22"/>
                <w:szCs w:val="22"/>
              </w:rPr>
              <w:t xml:space="preserve">Total </w:t>
            </w:r>
          </w:p>
        </w:tc>
        <w:tc>
          <w:tcPr>
            <w:tcW w:w="851" w:type="dxa"/>
            <w:tcBorders>
              <w:bottom w:val="single" w:sz="4" w:space="0" w:color="auto"/>
            </w:tcBorders>
          </w:tcPr>
          <w:p w:rsidR="002D7F0C" w:rsidRPr="00B9629F" w:rsidRDefault="00B51F60" w:rsidP="00335491">
            <w:pPr>
              <w:tabs>
                <w:tab w:val="left" w:pos="284"/>
              </w:tabs>
              <w:spacing w:line="240" w:lineRule="auto"/>
              <w:jc w:val="center"/>
              <w:rPr>
                <w:b/>
                <w:sz w:val="22"/>
                <w:szCs w:val="22"/>
              </w:rPr>
            </w:pPr>
            <w:r>
              <w:rPr>
                <w:b/>
                <w:sz w:val="22"/>
                <w:szCs w:val="22"/>
              </w:rPr>
              <w:t>31</w:t>
            </w:r>
          </w:p>
        </w:tc>
        <w:tc>
          <w:tcPr>
            <w:tcW w:w="850" w:type="dxa"/>
            <w:tcBorders>
              <w:bottom w:val="single" w:sz="4" w:space="0" w:color="auto"/>
            </w:tcBorders>
          </w:tcPr>
          <w:p w:rsidR="002D7F0C" w:rsidRPr="00B9629F" w:rsidRDefault="00B51F60" w:rsidP="00335491">
            <w:pPr>
              <w:tabs>
                <w:tab w:val="left" w:pos="284"/>
              </w:tabs>
              <w:spacing w:line="240" w:lineRule="auto"/>
              <w:jc w:val="center"/>
              <w:rPr>
                <w:b/>
                <w:sz w:val="22"/>
                <w:szCs w:val="22"/>
              </w:rPr>
            </w:pPr>
            <w:r>
              <w:rPr>
                <w:b/>
                <w:sz w:val="22"/>
                <w:szCs w:val="22"/>
              </w:rPr>
              <w:t>3</w:t>
            </w:r>
          </w:p>
        </w:tc>
        <w:tc>
          <w:tcPr>
            <w:tcW w:w="1276" w:type="dxa"/>
            <w:tcBorders>
              <w:bottom w:val="single" w:sz="4" w:space="0" w:color="auto"/>
            </w:tcBorders>
          </w:tcPr>
          <w:p w:rsidR="002D7F0C" w:rsidRPr="00B9629F" w:rsidRDefault="00B51F60" w:rsidP="00335491">
            <w:pPr>
              <w:tabs>
                <w:tab w:val="left" w:pos="284"/>
              </w:tabs>
              <w:spacing w:line="240" w:lineRule="auto"/>
              <w:jc w:val="center"/>
              <w:rPr>
                <w:b/>
                <w:sz w:val="22"/>
                <w:szCs w:val="22"/>
              </w:rPr>
            </w:pPr>
            <w:r>
              <w:rPr>
                <w:b/>
                <w:sz w:val="22"/>
                <w:szCs w:val="22"/>
              </w:rPr>
              <w:t>24</w:t>
            </w:r>
          </w:p>
        </w:tc>
        <w:tc>
          <w:tcPr>
            <w:tcW w:w="850" w:type="dxa"/>
            <w:tcBorders>
              <w:bottom w:val="single" w:sz="4" w:space="0" w:color="auto"/>
            </w:tcBorders>
          </w:tcPr>
          <w:p w:rsidR="002D7F0C" w:rsidRPr="00B9629F" w:rsidRDefault="00B51F60" w:rsidP="00335491">
            <w:pPr>
              <w:tabs>
                <w:tab w:val="left" w:pos="284"/>
              </w:tabs>
              <w:spacing w:line="240" w:lineRule="auto"/>
              <w:jc w:val="center"/>
              <w:rPr>
                <w:b/>
                <w:sz w:val="22"/>
                <w:szCs w:val="22"/>
              </w:rPr>
            </w:pPr>
            <w:r>
              <w:rPr>
                <w:b/>
                <w:sz w:val="22"/>
                <w:szCs w:val="22"/>
              </w:rPr>
              <w:t>4</w:t>
            </w:r>
          </w:p>
        </w:tc>
        <w:tc>
          <w:tcPr>
            <w:tcW w:w="709" w:type="dxa"/>
            <w:tcBorders>
              <w:bottom w:val="single" w:sz="4" w:space="0" w:color="auto"/>
            </w:tcBorders>
          </w:tcPr>
          <w:p w:rsidR="002D7F0C" w:rsidRPr="00B9629F" w:rsidRDefault="00B51F60" w:rsidP="00335491">
            <w:pPr>
              <w:tabs>
                <w:tab w:val="left" w:pos="284"/>
              </w:tabs>
              <w:spacing w:line="240" w:lineRule="auto"/>
              <w:jc w:val="center"/>
              <w:rPr>
                <w:b/>
                <w:sz w:val="22"/>
                <w:szCs w:val="22"/>
              </w:rPr>
            </w:pPr>
            <w:r>
              <w:rPr>
                <w:b/>
                <w:sz w:val="22"/>
                <w:szCs w:val="22"/>
              </w:rPr>
              <w:t>0</w:t>
            </w:r>
          </w:p>
        </w:tc>
      </w:tr>
    </w:tbl>
    <w:p w:rsidR="00F852D1" w:rsidRPr="00997DE7" w:rsidRDefault="00B51F60" w:rsidP="00C630F6">
      <w:pPr>
        <w:pStyle w:val="Heading3"/>
        <w:tabs>
          <w:tab w:val="left" w:pos="284"/>
        </w:tabs>
        <w:spacing w:after="120"/>
        <w:rPr>
          <w:rFonts w:ascii="Arial" w:hAnsi="Arial" w:cs="Arial"/>
        </w:rPr>
      </w:pPr>
      <w:r w:rsidRPr="00997DE7">
        <w:rPr>
          <w:rFonts w:ascii="Arial" w:hAnsi="Arial" w:cs="Arial"/>
        </w:rPr>
        <w:t>Wider sources of assurance available to the county council</w:t>
      </w:r>
    </w:p>
    <w:p w:rsidR="00B550FD" w:rsidRDefault="00B51F60" w:rsidP="00D97831">
      <w:pPr>
        <w:numPr>
          <w:ilvl w:val="1"/>
          <w:numId w:val="1"/>
        </w:numPr>
        <w:spacing w:before="120" w:after="120"/>
      </w:pPr>
      <w:r>
        <w:t>The reports provided by Ofsted and PricewaterhouseCoopers during the year are key sources of external assurance available to the committee and Council.</w:t>
      </w:r>
    </w:p>
    <w:p w:rsidR="00E96383" w:rsidRPr="00B550FD" w:rsidRDefault="00B51F60" w:rsidP="00E96383">
      <w:pPr>
        <w:numPr>
          <w:ilvl w:val="1"/>
          <w:numId w:val="1"/>
        </w:numPr>
        <w:spacing w:before="120" w:after="120"/>
        <w:rPr>
          <w:rFonts w:cs="Arial"/>
        </w:rPr>
      </w:pPr>
      <w:r>
        <w:t xml:space="preserve">In September 2016 PricewaterhouseCoopers' report on </w:t>
      </w:r>
      <w:r w:rsidRPr="00B550FD">
        <w:rPr>
          <w:rFonts w:cs="Arial"/>
        </w:rPr>
        <w:t xml:space="preserve">the council's financial position (the 'Statutory Services Budget Review') was considered by the Cabinet and is available through the following link </w:t>
      </w:r>
      <w:r>
        <w:rPr>
          <w:rFonts w:cs="Arial"/>
        </w:rPr>
        <w:t>(</w:t>
      </w:r>
      <w:r w:rsidRPr="00B550FD">
        <w:rPr>
          <w:rFonts w:cs="Arial"/>
        </w:rPr>
        <w:t xml:space="preserve">the last </w:t>
      </w:r>
      <w:r>
        <w:rPr>
          <w:rFonts w:cs="Arial"/>
        </w:rPr>
        <w:t>'</w:t>
      </w:r>
      <w:r w:rsidRPr="00B550FD">
        <w:rPr>
          <w:rFonts w:cs="Arial"/>
        </w:rPr>
        <w:t>accompanying document</w:t>
      </w:r>
      <w:r>
        <w:rPr>
          <w:rFonts w:cs="Arial"/>
        </w:rPr>
        <w:t>')</w:t>
      </w:r>
      <w:r w:rsidRPr="00B550FD">
        <w:rPr>
          <w:rFonts w:cs="Arial"/>
        </w:rPr>
        <w:t xml:space="preserve">: </w:t>
      </w:r>
      <w:hyperlink r:id="rId9" w:history="1">
        <w:r w:rsidRPr="00B550FD">
          <w:rPr>
            <w:rStyle w:val="Hyperlink"/>
            <w:rFonts w:cs="Arial"/>
          </w:rPr>
          <w:t>http://council.lancashire.gov.uk/ieDecisionDetails.aspx?ID=11159</w:t>
        </w:r>
      </w:hyperlink>
    </w:p>
    <w:p w:rsidR="00B92C48" w:rsidRDefault="00B51F60" w:rsidP="00D97831">
      <w:pPr>
        <w:numPr>
          <w:ilvl w:val="1"/>
          <w:numId w:val="1"/>
        </w:numPr>
        <w:spacing w:before="120" w:after="120"/>
      </w:pPr>
      <w:r>
        <w:t xml:space="preserve">In February 2017 Ofsted provided the following letter to the Council: </w:t>
      </w:r>
      <w:hyperlink r:id="rId10" w:history="1">
        <w:r w:rsidRPr="00232D55">
          <w:rPr>
            <w:rStyle w:val="Hyperlink"/>
          </w:rPr>
          <w:t>https://reports.ofsted.gov.uk/sites/default/files/documents/local_authority_reports/lancashire/054_Monitoring%20visit%20of%20LA%20childrens%20services%20as%20pdf.pdf</w:t>
        </w:r>
      </w:hyperlink>
    </w:p>
    <w:p w:rsidR="00577030" w:rsidRDefault="00B51F60" w:rsidP="00577030">
      <w:pPr>
        <w:pStyle w:val="Heading3"/>
        <w:tabs>
          <w:tab w:val="left" w:pos="284"/>
        </w:tabs>
        <w:spacing w:after="120"/>
        <w:rPr>
          <w:rFonts w:cs="Arial"/>
        </w:rPr>
      </w:pPr>
      <w:r w:rsidRPr="008E4131">
        <w:rPr>
          <w:rFonts w:ascii="Arial" w:hAnsi="Arial" w:cs="Arial"/>
        </w:rPr>
        <w:t>Management's response</w:t>
      </w:r>
      <w:r>
        <w:rPr>
          <w:rFonts w:ascii="Arial" w:hAnsi="Arial" w:cs="Arial"/>
        </w:rPr>
        <w:t>s</w:t>
      </w:r>
      <w:r w:rsidRPr="008E4131">
        <w:rPr>
          <w:rFonts w:ascii="Arial" w:hAnsi="Arial" w:cs="Arial"/>
        </w:rPr>
        <w:t xml:space="preserve"> to our findings</w:t>
      </w:r>
    </w:p>
    <w:p w:rsidR="00577030" w:rsidRDefault="00B51F60" w:rsidP="00D42B0C">
      <w:pPr>
        <w:numPr>
          <w:ilvl w:val="1"/>
          <w:numId w:val="1"/>
        </w:numPr>
        <w:spacing w:before="120" w:after="120"/>
      </w:pPr>
      <w:r>
        <w:t>Each of the issues I have raised during the year has been discussed with the relevant service managers as well as with members of the council's Management Team. Action plans have been agreed and actions are already being implemented; the Internal Audit Service will follow up our findings during the course of 2017/18 and provide support to managers to develop and implement pragmatic solutions to the control issues identified.</w:t>
      </w:r>
    </w:p>
    <w:p w:rsidR="002A1941" w:rsidRDefault="00B51F60">
      <w:pPr>
        <w:spacing w:before="0" w:after="0"/>
        <w:rPr>
          <w:rFonts w:cs="Arial"/>
          <w:b/>
          <w:bCs/>
          <w:kern w:val="32"/>
          <w:sz w:val="32"/>
          <w:szCs w:val="32"/>
        </w:rPr>
      </w:pPr>
      <w:r>
        <w:rPr>
          <w:rFonts w:cs="Arial"/>
        </w:rPr>
        <w:br w:type="page"/>
      </w:r>
    </w:p>
    <w:p w:rsidR="00AB7F56" w:rsidRPr="00F92FDE" w:rsidRDefault="00B51F60" w:rsidP="002C69C9">
      <w:pPr>
        <w:pStyle w:val="Heading1"/>
        <w:numPr>
          <w:ilvl w:val="0"/>
          <w:numId w:val="1"/>
        </w:numPr>
        <w:spacing w:after="120"/>
        <w:rPr>
          <w:rFonts w:ascii="Arial" w:hAnsi="Arial" w:cs="Arial"/>
        </w:rPr>
      </w:pPr>
      <w:r>
        <w:rPr>
          <w:rFonts w:ascii="Arial" w:hAnsi="Arial" w:cs="Arial"/>
        </w:rPr>
        <w:lastRenderedPageBreak/>
        <w:t>Key issues and themes</w:t>
      </w:r>
    </w:p>
    <w:p w:rsidR="00022CE8" w:rsidRDefault="00B51F60" w:rsidP="00022CE8">
      <w:pPr>
        <w:pStyle w:val="ListParagraph"/>
        <w:numPr>
          <w:ilvl w:val="1"/>
          <w:numId w:val="1"/>
        </w:numPr>
        <w:spacing w:before="120" w:after="120"/>
        <w:contextualSpacing w:val="0"/>
        <w:rPr>
          <w:rFonts w:cs="Arial"/>
        </w:rPr>
      </w:pPr>
      <w:r>
        <w:rPr>
          <w:rFonts w:cs="Arial"/>
        </w:rPr>
        <w:t>The committee's attention has previously been drawn to the existence of a number of areas of the council's operations that are subject to too much turbulence to be audited, and areas where managers could not themselves provide assurance over the adequacy and effectiveness of controls. It has also been made aware of the limited assurance effectively provided by both PricewaterhouseCoopers (in respect of the council's financial position and capacity to make the necessary financial savings)</w:t>
      </w:r>
      <w:r w:rsidRPr="007D6951">
        <w:rPr>
          <w:rFonts w:cs="Arial"/>
        </w:rPr>
        <w:t xml:space="preserve"> </w:t>
      </w:r>
      <w:r>
        <w:rPr>
          <w:rFonts w:cs="Arial"/>
        </w:rPr>
        <w:t>and Ofsted (in respect of children's social care). The Internal Audit Service's own work has generated some positive assurance, but also only limited assurance over a key control in adult social care – professional supervision – and key areas of financial control – accounts receivable and debt management, and accounts payable.</w:t>
      </w:r>
    </w:p>
    <w:p w:rsidR="00157183" w:rsidRPr="007E6B6D" w:rsidRDefault="00B51F60" w:rsidP="00157183">
      <w:pPr>
        <w:pStyle w:val="ListParagraph"/>
        <w:numPr>
          <w:ilvl w:val="1"/>
          <w:numId w:val="1"/>
        </w:numPr>
        <w:spacing w:before="120" w:after="120"/>
        <w:contextualSpacing w:val="0"/>
        <w:rPr>
          <w:rFonts w:cs="Arial"/>
        </w:rPr>
      </w:pPr>
      <w:r>
        <w:rPr>
          <w:rFonts w:cs="Arial"/>
        </w:rPr>
        <w:t>One common theme across a number of areas is inappropriate access to systems available to officers who no longer need it, or whose roles do not require it. This issue is known to the council's management and it is being considered as part of the council's wider development of improved ICT systems.</w:t>
      </w:r>
    </w:p>
    <w:p w:rsidR="00144E72" w:rsidRDefault="00B51F60" w:rsidP="00D97831">
      <w:pPr>
        <w:pStyle w:val="ListParagraph"/>
        <w:numPr>
          <w:ilvl w:val="1"/>
          <w:numId w:val="1"/>
        </w:numPr>
        <w:spacing w:before="120" w:after="120"/>
        <w:contextualSpacing w:val="0"/>
      </w:pPr>
      <w:r w:rsidRPr="00157183">
        <w:rPr>
          <w:rFonts w:cs="Arial"/>
        </w:rPr>
        <w:t>However as has been noted during the year, despite the instability arising from the changes taking place across the council, there are some areas where strong control is exerted over the services being provided and systems operated. In particular, we have provided full assurance over the provision of school places</w:t>
      </w:r>
      <w:r>
        <w:rPr>
          <w:rFonts w:cs="Arial"/>
        </w:rPr>
        <w:t>, treasury management,</w:t>
      </w:r>
      <w:r w:rsidRPr="00157183">
        <w:rPr>
          <w:rFonts w:cs="Arial"/>
        </w:rPr>
        <w:t xml:space="preserve"> and over BT Lancashire Services L</w:t>
      </w:r>
      <w:r>
        <w:rPr>
          <w:rFonts w:cs="Arial"/>
        </w:rPr>
        <w:t>imi</w:t>
      </w:r>
      <w:r w:rsidRPr="00157183">
        <w:rPr>
          <w:rFonts w:cs="Arial"/>
        </w:rPr>
        <w:t>t</w:t>
      </w:r>
      <w:r>
        <w:rPr>
          <w:rFonts w:cs="Arial"/>
        </w:rPr>
        <w:t>e</w:t>
      </w:r>
      <w:r w:rsidRPr="00157183">
        <w:rPr>
          <w:rFonts w:cs="Arial"/>
        </w:rPr>
        <w:t xml:space="preserve">d's (BTLS) processing of the council's payroll. </w:t>
      </w:r>
      <w:r>
        <w:t>Whilst the process is still developing, the Council has also begun more explicitly to demonstrate its management of risk at both the corporate level and within individual service areas.</w:t>
      </w:r>
    </w:p>
    <w:p w:rsidR="00AB7F56" w:rsidRPr="00017CE8" w:rsidRDefault="00B51F60" w:rsidP="002C69C9">
      <w:pPr>
        <w:pStyle w:val="Heading1"/>
        <w:numPr>
          <w:ilvl w:val="0"/>
          <w:numId w:val="1"/>
        </w:numPr>
        <w:spacing w:after="120"/>
        <w:rPr>
          <w:rFonts w:ascii="Arial" w:hAnsi="Arial" w:cs="Arial"/>
        </w:rPr>
      </w:pPr>
      <w:r w:rsidRPr="00017CE8">
        <w:rPr>
          <w:rFonts w:ascii="Arial" w:hAnsi="Arial" w:cs="Arial"/>
        </w:rPr>
        <w:t>Implications for the annual governance statement</w:t>
      </w:r>
    </w:p>
    <w:p w:rsidR="005B4848" w:rsidRDefault="00B51F60" w:rsidP="00D97831">
      <w:pPr>
        <w:numPr>
          <w:ilvl w:val="1"/>
          <w:numId w:val="1"/>
        </w:numPr>
        <w:spacing w:before="120" w:after="120"/>
      </w:pPr>
      <w:r w:rsidRPr="003D27CB">
        <w:t xml:space="preserve">In making its annual governance statement </w:t>
      </w:r>
      <w:r>
        <w:t xml:space="preserve">the council </w:t>
      </w:r>
      <w:r w:rsidRPr="003D27CB">
        <w:t xml:space="preserve">considers the </w:t>
      </w:r>
      <w:r>
        <w:t>head of i</w:t>
      </w:r>
      <w:r w:rsidRPr="003D27CB">
        <w:t xml:space="preserve">nternal </w:t>
      </w:r>
      <w:r>
        <w:t>a</w:t>
      </w:r>
      <w:r w:rsidRPr="003D27CB">
        <w:t xml:space="preserve">udit's opinion in relation to its internal control environment, risk management processes and corporate governance. </w:t>
      </w:r>
      <w:r>
        <w:t xml:space="preserve">The Council's </w:t>
      </w:r>
      <w:r w:rsidRPr="003D27CB">
        <w:t xml:space="preserve">annual governance statement </w:t>
      </w:r>
      <w:r>
        <w:t>should therefore reflect the continuing challenges presented by its financial position and projections; its continuing drive to make extremely challenging cost reductions, involving ongoing restructures of many of its services; and the effects of continuing restructuring and cost reductions on the Council's ability to operate adequate and effective controls to properly manage the risks to its objectives.</w:t>
      </w:r>
    </w:p>
    <w:p w:rsidR="006C0D25" w:rsidRDefault="00B51F60" w:rsidP="002C69C9">
      <w:pPr>
        <w:numPr>
          <w:ilvl w:val="1"/>
          <w:numId w:val="1"/>
        </w:numPr>
        <w:spacing w:before="120" w:after="120"/>
      </w:pPr>
      <w:r>
        <w:t>More positively, t</w:t>
      </w:r>
      <w:r w:rsidRPr="00300C4F">
        <w:t xml:space="preserve">he </w:t>
      </w:r>
      <w:r>
        <w:t>Council could also reflect its improvement in demonstrable risk management and the improvements being made that, whilst they have been temporarily disruptive, are expected eventually to support improvements to both services and internal controls. There is considerable work ongoing to make improvements in both adult and children's social care services, and the introduction of improved asset management systems and the development of a wider strategic plan for the development of the council's ICT systems as a whole are also good examples.</w:t>
      </w:r>
    </w:p>
    <w:p w:rsidR="00374934" w:rsidRDefault="00B51F60" w:rsidP="002C69C9">
      <w:pPr>
        <w:pStyle w:val="Heading1"/>
        <w:numPr>
          <w:ilvl w:val="0"/>
          <w:numId w:val="1"/>
        </w:numPr>
        <w:spacing w:after="120"/>
        <w:rPr>
          <w:rFonts w:ascii="Arial" w:hAnsi="Arial" w:cs="Arial"/>
        </w:rPr>
      </w:pPr>
      <w:r>
        <w:rPr>
          <w:rFonts w:ascii="Arial" w:hAnsi="Arial" w:cs="Arial"/>
        </w:rPr>
        <w:lastRenderedPageBreak/>
        <w:t>Organisational independence</w:t>
      </w:r>
    </w:p>
    <w:p w:rsidR="009759F6" w:rsidRPr="008939AC" w:rsidRDefault="00B51F60" w:rsidP="00E724AD">
      <w:pPr>
        <w:numPr>
          <w:ilvl w:val="1"/>
          <w:numId w:val="1"/>
        </w:numPr>
        <w:spacing w:before="120" w:after="120"/>
      </w:pPr>
      <w:r>
        <w:t xml:space="preserve">The Internal Audit Service has access to and support from the council's Management Team but is able to operate independently within the organisation and is therefore properly able to fulfil its responsibilities. In accordance with its charter the service </w:t>
      </w:r>
      <w:r w:rsidRPr="00B718C8">
        <w:rPr>
          <w:rFonts w:cs="Arial"/>
          <w:color w:val="000000"/>
        </w:rPr>
        <w:t>remains independent of the council's other functions and, with the exception of its support to management in relation to counter fraud and investigatory work, no member of the Internal Audit Service has any executive or operational responsibilities.</w:t>
      </w:r>
    </w:p>
    <w:p w:rsidR="009759F6" w:rsidRDefault="00B51F60" w:rsidP="009759F6">
      <w:pPr>
        <w:numPr>
          <w:ilvl w:val="1"/>
          <w:numId w:val="1"/>
        </w:numPr>
        <w:spacing w:before="120" w:after="120"/>
      </w:pPr>
      <w:r w:rsidRPr="00BA68DA">
        <w:rPr>
          <w:rFonts w:cs="Arial"/>
          <w:color w:val="000000"/>
        </w:rPr>
        <w:t>The Internal Audit Service’s work programme and priorities are determined in consultation with the Management Team</w:t>
      </w:r>
      <w:r>
        <w:rPr>
          <w:rFonts w:cs="Arial"/>
          <w:color w:val="000000"/>
        </w:rPr>
        <w:t>, the council's senior managers</w:t>
      </w:r>
      <w:r w:rsidRPr="00BA68DA">
        <w:rPr>
          <w:rFonts w:cs="Arial"/>
          <w:color w:val="000000"/>
        </w:rPr>
        <w:t xml:space="preserve"> and the Audit and Governance Committee, but remain decision</w:t>
      </w:r>
      <w:r>
        <w:rPr>
          <w:rFonts w:cs="Arial"/>
          <w:color w:val="000000"/>
        </w:rPr>
        <w:t>s</w:t>
      </w:r>
      <w:r w:rsidRPr="00BA68DA">
        <w:rPr>
          <w:rFonts w:cs="Arial"/>
          <w:color w:val="000000"/>
        </w:rPr>
        <w:t xml:space="preserve"> for the head of internal audit. The head of internal audit has direct access to and freedom to report in her own name and without fear or fav</w:t>
      </w:r>
      <w:r>
        <w:rPr>
          <w:rFonts w:cs="Arial"/>
          <w:color w:val="000000"/>
        </w:rPr>
        <w:t>our to all officers and members</w:t>
      </w:r>
      <w:r w:rsidRPr="00BA68DA">
        <w:rPr>
          <w:rFonts w:cs="Arial"/>
          <w:color w:val="000000"/>
        </w:rPr>
        <w:t>.</w:t>
      </w:r>
    </w:p>
    <w:p w:rsidR="00AB7F56" w:rsidRPr="00661B4E" w:rsidRDefault="00B51F60" w:rsidP="002C69C9">
      <w:pPr>
        <w:pStyle w:val="Heading1"/>
        <w:numPr>
          <w:ilvl w:val="0"/>
          <w:numId w:val="1"/>
        </w:numPr>
        <w:spacing w:after="120"/>
      </w:pPr>
      <w:bookmarkStart w:id="5" w:name="IA_work_undertaken"/>
      <w:r w:rsidRPr="00661B4E">
        <w:rPr>
          <w:rFonts w:ascii="Arial" w:hAnsi="Arial" w:cs="Arial"/>
        </w:rPr>
        <w:t xml:space="preserve">Internal audit </w:t>
      </w:r>
      <w:bookmarkEnd w:id="5"/>
      <w:r w:rsidRPr="00661B4E">
        <w:rPr>
          <w:rFonts w:ascii="Arial" w:hAnsi="Arial" w:cs="Arial"/>
        </w:rPr>
        <w:t>performance</w:t>
      </w:r>
    </w:p>
    <w:p w:rsidR="00DA2CD3" w:rsidRDefault="00B51F60" w:rsidP="00DA2CD3">
      <w:pPr>
        <w:numPr>
          <w:ilvl w:val="1"/>
          <w:numId w:val="1"/>
        </w:numPr>
        <w:spacing w:before="120" w:after="120"/>
      </w:pPr>
      <w:r w:rsidRPr="00626D05">
        <w:t xml:space="preserve">Following a review of resourcing and confirmation of the structure of the service </w:t>
      </w:r>
      <w:r>
        <w:t xml:space="preserve">during the year a number of </w:t>
      </w:r>
      <w:r w:rsidRPr="00626D05">
        <w:t>recruitment exercises were successful</w:t>
      </w:r>
      <w:r>
        <w:t>ly completed and the service's establishment is currently fully staffed. However this was achieved only by the end of March 2017 and the service operated with a number of vacancies during the year.</w:t>
      </w:r>
    </w:p>
    <w:p w:rsidR="00DA2CD3" w:rsidRPr="00DA2CD3" w:rsidRDefault="00B51F60" w:rsidP="00DA2CD3">
      <w:pPr>
        <w:tabs>
          <w:tab w:val="left" w:pos="284"/>
        </w:tabs>
        <w:spacing w:before="120" w:after="120"/>
        <w:rPr>
          <w:b/>
        </w:rPr>
      </w:pPr>
      <w:r w:rsidRPr="00DA2CD3">
        <w:rPr>
          <w:b/>
        </w:rPr>
        <w:t>Completion of the internal audit plan 2016/17</w:t>
      </w:r>
    </w:p>
    <w:p w:rsidR="00DA2CD3" w:rsidRDefault="00B51F60" w:rsidP="00DA2CD3">
      <w:pPr>
        <w:numPr>
          <w:ilvl w:val="1"/>
          <w:numId w:val="1"/>
        </w:numPr>
        <w:spacing w:before="120" w:after="120"/>
      </w:pPr>
      <w:r w:rsidRPr="003422EF">
        <w:t xml:space="preserve">The </w:t>
      </w:r>
      <w:r>
        <w:t>outputs</w:t>
      </w:r>
      <w:r w:rsidRPr="003422EF">
        <w:t xml:space="preserve"> of our audit work have been reported in detail to the </w:t>
      </w:r>
      <w:r>
        <w:t xml:space="preserve">senior management teams of </w:t>
      </w:r>
      <w:r w:rsidRPr="003422EF">
        <w:t xml:space="preserve">individual </w:t>
      </w:r>
      <w:r>
        <w:t>service areas</w:t>
      </w:r>
      <w:r w:rsidRPr="003422EF">
        <w:t xml:space="preserve">, and the key themes arising for </w:t>
      </w:r>
      <w:r>
        <w:t xml:space="preserve">them and for </w:t>
      </w:r>
      <w:r w:rsidRPr="003422EF">
        <w:t xml:space="preserve">the </w:t>
      </w:r>
      <w:r>
        <w:t>council</w:t>
      </w:r>
      <w:r w:rsidRPr="003422EF">
        <w:t xml:space="preserve"> as a whole are set out above.</w:t>
      </w:r>
    </w:p>
    <w:p w:rsidR="00DA2CD3" w:rsidRPr="004E14F1" w:rsidRDefault="00B51F60" w:rsidP="00DA2CD3">
      <w:pPr>
        <w:numPr>
          <w:ilvl w:val="1"/>
          <w:numId w:val="1"/>
        </w:numPr>
        <w:spacing w:before="120" w:after="120"/>
      </w:pPr>
      <w:r w:rsidRPr="00CD6FA9">
        <w:t xml:space="preserve">We have completed </w:t>
      </w:r>
      <w:r>
        <w:t>31</w:t>
      </w:r>
      <w:r w:rsidRPr="00661B4E">
        <w:t xml:space="preserve"> </w:t>
      </w:r>
      <w:r w:rsidRPr="00CD6FA9">
        <w:t xml:space="preserve">individual </w:t>
      </w:r>
      <w:r>
        <w:t xml:space="preserve">audit </w:t>
      </w:r>
      <w:r w:rsidRPr="00CD6FA9">
        <w:t>assignments</w:t>
      </w:r>
      <w:r>
        <w:t>, as well as a number of other pieces of work that have not resulted in assurance opinions,</w:t>
      </w:r>
      <w:r w:rsidR="00C6442D">
        <w:t xml:space="preserve"> and these are set out in Appendix</w:t>
      </w:r>
      <w:r w:rsidRPr="00CD6FA9">
        <w:t xml:space="preserve"> </w:t>
      </w:r>
      <w:r w:rsidRPr="006F2F4E">
        <w:t>B.</w:t>
      </w:r>
    </w:p>
    <w:p w:rsidR="00626D05" w:rsidRPr="00E6018A" w:rsidRDefault="00B51F60" w:rsidP="00626D05">
      <w:pPr>
        <w:pStyle w:val="Heading3"/>
        <w:tabs>
          <w:tab w:val="left" w:pos="284"/>
        </w:tabs>
        <w:spacing w:after="120"/>
        <w:rPr>
          <w:rFonts w:ascii="Arial" w:hAnsi="Arial" w:cs="Arial"/>
        </w:rPr>
      </w:pPr>
      <w:r w:rsidRPr="00E6018A">
        <w:rPr>
          <w:rFonts w:ascii="Arial" w:hAnsi="Arial" w:cs="Arial"/>
        </w:rPr>
        <w:t xml:space="preserve">Internal audit </w:t>
      </w:r>
      <w:r>
        <w:rPr>
          <w:rFonts w:ascii="Arial" w:hAnsi="Arial" w:cs="Arial"/>
        </w:rPr>
        <w:t>quality assurance and improvement programme</w:t>
      </w:r>
    </w:p>
    <w:p w:rsidR="00626D05" w:rsidRPr="00626D05" w:rsidRDefault="00B51F60" w:rsidP="000A1B62">
      <w:pPr>
        <w:numPr>
          <w:ilvl w:val="1"/>
          <w:numId w:val="1"/>
        </w:numPr>
        <w:spacing w:before="120" w:after="120"/>
      </w:pPr>
      <w:r>
        <w:t>A self-</w:t>
      </w:r>
      <w:r w:rsidRPr="00626D05">
        <w:t xml:space="preserve">assessment of </w:t>
      </w:r>
      <w:r>
        <w:t xml:space="preserve">the </w:t>
      </w:r>
      <w:r w:rsidRPr="00626D05">
        <w:t xml:space="preserve">Internal Audit </w:t>
      </w:r>
      <w:r>
        <w:t xml:space="preserve">Service </w:t>
      </w:r>
      <w:r w:rsidRPr="00626D05">
        <w:t>carried out</w:t>
      </w:r>
      <w:r>
        <w:t xml:space="preserve"> </w:t>
      </w:r>
      <w:r w:rsidRPr="00626D05">
        <w:t xml:space="preserve">in </w:t>
      </w:r>
      <w:r>
        <w:t xml:space="preserve">June 2017 </w:t>
      </w:r>
      <w:r w:rsidRPr="00626D05">
        <w:t xml:space="preserve">confirmed that the service </w:t>
      </w:r>
      <w:r>
        <w:t xml:space="preserve">substantially meets the </w:t>
      </w:r>
      <w:r w:rsidRPr="00626D05">
        <w:t xml:space="preserve">requirements </w:t>
      </w:r>
      <w:r>
        <w:t>of PSIAS. A more detailed assessment will build on this in 2017/18 and a full external assessment of the Internal Audit Service's self-assessment of its compliance with PSIAS will take place during November 2017. The chair of the Audit and Governance Committee will be invited to participate in this process, and the results will be reported to the committee. T</w:t>
      </w:r>
      <w:r w:rsidRPr="00626D05">
        <w:t xml:space="preserve">he outcome of that review will be used to inform </w:t>
      </w:r>
      <w:r>
        <w:t>a revised q</w:t>
      </w:r>
      <w:r w:rsidRPr="00626D05">
        <w:t xml:space="preserve">uality </w:t>
      </w:r>
      <w:r>
        <w:t>a</w:t>
      </w:r>
      <w:r w:rsidRPr="00626D05">
        <w:t>ssurance</w:t>
      </w:r>
      <w:r>
        <w:t xml:space="preserve"> and i</w:t>
      </w:r>
      <w:r w:rsidRPr="00626D05">
        <w:t xml:space="preserve">mprovement </w:t>
      </w:r>
      <w:r>
        <w:t>programme if necessary.</w:t>
      </w:r>
    </w:p>
    <w:p w:rsidR="00C43C46" w:rsidRDefault="00B51F60" w:rsidP="00D97831">
      <w:pPr>
        <w:numPr>
          <w:ilvl w:val="1"/>
          <w:numId w:val="1"/>
        </w:numPr>
        <w:spacing w:before="120" w:after="120"/>
      </w:pPr>
      <w:r>
        <w:t>T</w:t>
      </w:r>
      <w:r w:rsidRPr="00757D60">
        <w:t xml:space="preserve">he </w:t>
      </w:r>
      <w:r>
        <w:t xml:space="preserve">Internal </w:t>
      </w:r>
      <w:r w:rsidRPr="00757D60">
        <w:t xml:space="preserve">Audit Service </w:t>
      </w:r>
      <w:r>
        <w:t>has requested feedback from its auditees throughout the year</w:t>
      </w:r>
      <w:r w:rsidRPr="00626D05">
        <w:t xml:space="preserve"> </w:t>
      </w:r>
      <w:r>
        <w:t>as each audit assignment has been completed. This has provided very positive feedback about the conduct of our audit work and some helpful indications of practical matters for the team to consider in conducting its work.</w:t>
      </w:r>
      <w:bookmarkEnd w:id="2"/>
      <w:bookmarkEnd w:id="3"/>
    </w:p>
    <w:p w:rsidR="006C4A53" w:rsidRDefault="00C6442D" w:rsidP="00594C48">
      <w:pPr>
        <w:numPr>
          <w:ilvl w:val="1"/>
          <w:numId w:val="1"/>
        </w:numPr>
        <w:spacing w:before="120" w:after="120"/>
        <w:sectPr w:rsidR="006C4A53" w:rsidSect="000A1B62">
          <w:headerReference w:type="default" r:id="rId11"/>
          <w:footerReference w:type="default" r:id="rId12"/>
          <w:headerReference w:type="first" r:id="rId13"/>
          <w:pgSz w:w="11907" w:h="16840" w:code="9"/>
          <w:pgMar w:top="1797" w:right="1417" w:bottom="1134" w:left="1418" w:header="709" w:footer="596" w:gutter="0"/>
          <w:pgNumType w:start="1"/>
          <w:cols w:space="708"/>
          <w:titlePg/>
          <w:docGrid w:linePitch="360"/>
        </w:sectPr>
      </w:pPr>
    </w:p>
    <w:p w:rsidR="006C0D25" w:rsidRDefault="00B51F60" w:rsidP="002C69C9">
      <w:pPr>
        <w:pStyle w:val="BodyText"/>
        <w:numPr>
          <w:ilvl w:val="0"/>
          <w:numId w:val="2"/>
        </w:numPr>
        <w:spacing w:before="240" w:after="120"/>
        <w:rPr>
          <w:b/>
          <w:sz w:val="28"/>
          <w:szCs w:val="28"/>
        </w:rPr>
      </w:pPr>
      <w:r w:rsidRPr="00184D55">
        <w:rPr>
          <w:b/>
          <w:sz w:val="28"/>
          <w:szCs w:val="28"/>
        </w:rPr>
        <w:lastRenderedPageBreak/>
        <w:t>Audit assurance levels</w:t>
      </w:r>
      <w:r>
        <w:rPr>
          <w:b/>
          <w:sz w:val="28"/>
          <w:szCs w:val="28"/>
        </w:rPr>
        <w:t xml:space="preserve"> and classification of residual risks</w:t>
      </w:r>
    </w:p>
    <w:p w:rsidR="00C146BB" w:rsidRPr="00184D55" w:rsidRDefault="00B51F60" w:rsidP="006C0D25">
      <w:pPr>
        <w:tabs>
          <w:tab w:val="left" w:pos="284"/>
        </w:tabs>
        <w:spacing w:before="240" w:after="120"/>
        <w:rPr>
          <w:b/>
          <w:sz w:val="28"/>
          <w:szCs w:val="28"/>
        </w:rPr>
      </w:pPr>
      <w:r>
        <w:rPr>
          <w:b/>
          <w:sz w:val="28"/>
          <w:szCs w:val="28"/>
        </w:rPr>
        <w:t>Audit assurance</w:t>
      </w:r>
    </w:p>
    <w:p w:rsidR="00A813BE" w:rsidRDefault="00B51F60" w:rsidP="006C0D25">
      <w:pPr>
        <w:spacing w:before="120" w:after="120"/>
      </w:pPr>
      <w:r w:rsidRPr="00184D55">
        <w:rPr>
          <w:b/>
        </w:rPr>
        <w:t>Full assurance</w:t>
      </w:r>
      <w:r>
        <w:t>:</w:t>
      </w:r>
      <w:r w:rsidRPr="00282F4A">
        <w:t xml:space="preserve"> there is a sound system of internal control which is designed to meet </w:t>
      </w:r>
      <w:r>
        <w:t xml:space="preserve">the service </w:t>
      </w:r>
      <w:r w:rsidRPr="00282F4A">
        <w:t>objectives and controls are being consistently applied</w:t>
      </w:r>
      <w:r>
        <w:t>.</w:t>
      </w:r>
    </w:p>
    <w:p w:rsidR="00A813BE" w:rsidRDefault="00B51F60" w:rsidP="006C0D25">
      <w:pPr>
        <w:spacing w:before="120" w:after="120"/>
      </w:pPr>
      <w:r>
        <w:rPr>
          <w:b/>
        </w:rPr>
        <w:t>Substantial</w:t>
      </w:r>
      <w:r w:rsidRPr="00184D55">
        <w:rPr>
          <w:b/>
        </w:rPr>
        <w:t xml:space="preserve"> assurance</w:t>
      </w:r>
      <w:r>
        <w:t>:</w:t>
      </w:r>
      <w:r w:rsidRPr="00282F4A">
        <w:t xml:space="preserve"> there is a generally sound system of internal control, designed to meet the </w:t>
      </w:r>
      <w:r>
        <w:t xml:space="preserve">service </w:t>
      </w:r>
      <w:r w:rsidRPr="00282F4A">
        <w:t>objectives, and controls are generally bein</w:t>
      </w:r>
      <w:r>
        <w:t>g applied consistently. However</w:t>
      </w:r>
      <w:r w:rsidRPr="00282F4A">
        <w:t xml:space="preserve"> some weakness in the design and/</w:t>
      </w:r>
      <w:r>
        <w:t xml:space="preserve"> </w:t>
      </w:r>
      <w:r w:rsidRPr="00282F4A">
        <w:t>or inconsistent application of controls put the achievement o</w:t>
      </w:r>
      <w:r>
        <w:t>f particular objectives at risk.</w:t>
      </w:r>
      <w:r w:rsidRPr="00282F4A">
        <w:t xml:space="preserve"> </w:t>
      </w:r>
    </w:p>
    <w:p w:rsidR="00A813BE" w:rsidRDefault="00B51F60" w:rsidP="006C0D25">
      <w:pPr>
        <w:spacing w:before="120" w:after="120"/>
      </w:pPr>
      <w:r w:rsidRPr="00184D55">
        <w:rPr>
          <w:b/>
        </w:rPr>
        <w:t>Limited assurance</w:t>
      </w:r>
      <w:r>
        <w:t>: weaknesses in the design</w:t>
      </w:r>
      <w:r w:rsidRPr="00282F4A">
        <w:t xml:space="preserve"> and/</w:t>
      </w:r>
      <w:r>
        <w:t xml:space="preserve"> </w:t>
      </w:r>
      <w:r w:rsidRPr="00282F4A">
        <w:t>or incon</w:t>
      </w:r>
      <w:r>
        <w:t>sistent application of controls</w:t>
      </w:r>
      <w:r w:rsidRPr="00282F4A">
        <w:t xml:space="preserve"> put the achievement of the </w:t>
      </w:r>
      <w:r>
        <w:t xml:space="preserve">service </w:t>
      </w:r>
      <w:r w:rsidRPr="00282F4A">
        <w:t>objectives at risk</w:t>
      </w:r>
      <w:r>
        <w:t>.</w:t>
      </w:r>
    </w:p>
    <w:p w:rsidR="00A813BE" w:rsidRDefault="00B51F60" w:rsidP="006C0D25">
      <w:pPr>
        <w:spacing w:before="120" w:after="120"/>
      </w:pPr>
      <w:r w:rsidRPr="00184D55">
        <w:rPr>
          <w:b/>
        </w:rPr>
        <w:t>No assurance</w:t>
      </w:r>
      <w:r>
        <w:t>:</w:t>
      </w:r>
      <w:r w:rsidRPr="00282F4A">
        <w:t xml:space="preserve"> weaknesses in control</w:t>
      </w:r>
      <w:r>
        <w:t xml:space="preserve"> </w:t>
      </w:r>
      <w:r w:rsidRPr="00282F4A">
        <w:t>and/</w:t>
      </w:r>
      <w:r>
        <w:t xml:space="preserve"> </w:t>
      </w:r>
      <w:r w:rsidRPr="00282F4A">
        <w:t xml:space="preserve">or consistent non-compliance with controls could result/ </w:t>
      </w:r>
      <w:r>
        <w:t>have</w:t>
      </w:r>
      <w:r w:rsidRPr="00282F4A">
        <w:t xml:space="preserve"> resulted in failure to achieve the </w:t>
      </w:r>
      <w:r>
        <w:t xml:space="preserve">service </w:t>
      </w:r>
      <w:r w:rsidRPr="00282F4A">
        <w:t>objectives.</w:t>
      </w:r>
    </w:p>
    <w:p w:rsidR="00A813BE" w:rsidRPr="00184D55" w:rsidRDefault="00B51F60" w:rsidP="006C0D25">
      <w:pPr>
        <w:tabs>
          <w:tab w:val="left" w:pos="284"/>
        </w:tabs>
        <w:spacing w:before="240" w:after="120"/>
        <w:rPr>
          <w:b/>
          <w:sz w:val="28"/>
          <w:szCs w:val="28"/>
        </w:rPr>
      </w:pPr>
      <w:r>
        <w:rPr>
          <w:b/>
          <w:sz w:val="28"/>
          <w:szCs w:val="28"/>
        </w:rPr>
        <w:t>C</w:t>
      </w:r>
      <w:r w:rsidRPr="00184D55">
        <w:rPr>
          <w:b/>
          <w:sz w:val="28"/>
          <w:szCs w:val="28"/>
        </w:rPr>
        <w:t xml:space="preserve">lassification </w:t>
      </w:r>
      <w:r>
        <w:rPr>
          <w:b/>
          <w:sz w:val="28"/>
          <w:szCs w:val="28"/>
        </w:rPr>
        <w:t>of residual risks requiring management action</w:t>
      </w:r>
      <w:r w:rsidRPr="00184D55">
        <w:rPr>
          <w:b/>
          <w:sz w:val="28"/>
          <w:szCs w:val="28"/>
        </w:rPr>
        <w:t xml:space="preserve"> </w:t>
      </w:r>
    </w:p>
    <w:p w:rsidR="00C146BB" w:rsidRDefault="00B51F60" w:rsidP="006C0D25">
      <w:pPr>
        <w:tabs>
          <w:tab w:val="left" w:pos="284"/>
        </w:tabs>
        <w:spacing w:before="120" w:after="120"/>
        <w:rPr>
          <w:rFonts w:cs="Arial"/>
          <w:bCs/>
        </w:rPr>
      </w:pPr>
      <w:r w:rsidRPr="00C146BB">
        <w:rPr>
          <w:rFonts w:cs="Arial"/>
          <w:bCs/>
        </w:rPr>
        <w:t xml:space="preserve">All </w:t>
      </w:r>
      <w:r>
        <w:rPr>
          <w:rFonts w:cs="Arial"/>
          <w:bCs/>
        </w:rPr>
        <w:t xml:space="preserve">actions agreed with management </w:t>
      </w:r>
      <w:r w:rsidRPr="00C146BB">
        <w:rPr>
          <w:rFonts w:cs="Arial"/>
          <w:bCs/>
        </w:rPr>
        <w:t xml:space="preserve">are </w:t>
      </w:r>
      <w:r>
        <w:rPr>
          <w:rFonts w:cs="Arial"/>
          <w:bCs/>
        </w:rPr>
        <w:t>stated</w:t>
      </w:r>
      <w:r w:rsidRPr="00C146BB">
        <w:rPr>
          <w:rFonts w:cs="Arial"/>
          <w:bCs/>
        </w:rPr>
        <w:t xml:space="preserve"> in terms of the residual risk they are designed to mitigate.</w:t>
      </w:r>
    </w:p>
    <w:p w:rsidR="00A813BE" w:rsidRPr="00FD4590" w:rsidRDefault="00B51F60" w:rsidP="006C0D25">
      <w:pPr>
        <w:spacing w:before="120" w:after="120"/>
        <w:rPr>
          <w:rFonts w:cs="Arial"/>
          <w:b/>
          <w:bCs/>
          <w:i/>
        </w:rPr>
      </w:pPr>
      <w:r w:rsidRPr="00FD4590">
        <w:rPr>
          <w:rFonts w:cs="Arial"/>
          <w:b/>
          <w:bCs/>
        </w:rPr>
        <w:t>Extre</w:t>
      </w:r>
      <w:r>
        <w:rPr>
          <w:rFonts w:cs="Arial"/>
          <w:b/>
          <w:bCs/>
        </w:rPr>
        <w:t>me residual risk</w:t>
      </w:r>
      <w:r>
        <w:t xml:space="preserve">: Critical and urgent in that failure to address the risk could lead to one or more of the following occurring: catastrophic loss of the county council's services, loss of life, significant environmental damage or huge financial loss, with related national press coverage and substantial damage to the council's reputation. </w:t>
      </w:r>
      <w:r w:rsidRPr="00FD4590">
        <w:rPr>
          <w:i/>
        </w:rPr>
        <w:t>Remedial action must be taken immediately.</w:t>
      </w:r>
    </w:p>
    <w:p w:rsidR="00A813BE" w:rsidRDefault="00B51F60" w:rsidP="006C0D25">
      <w:pPr>
        <w:spacing w:before="120" w:after="120"/>
      </w:pPr>
      <w:r w:rsidRPr="00184D55">
        <w:rPr>
          <w:rFonts w:cs="Arial"/>
          <w:b/>
          <w:bCs/>
        </w:rPr>
        <w:t>High residual risk</w:t>
      </w:r>
      <w:r w:rsidRPr="00184D55">
        <w:rPr>
          <w:rFonts w:cs="Arial"/>
          <w:bCs/>
        </w:rPr>
        <w:t>:</w:t>
      </w:r>
      <w:r>
        <w:rPr>
          <w:rFonts w:cs="Arial"/>
          <w:b/>
          <w:bCs/>
        </w:rPr>
        <w:t xml:space="preserve"> </w:t>
      </w:r>
      <w:r>
        <w:t xml:space="preserve">Critical in that failure to address the issue or progress the work would lead to one or more of the following occurring: failure to achieve organisational objectives, disruption to the business, financial loss, fraud, inefficient use of resources, failure to comply with law or regulations, or damage to the council's reputation.  </w:t>
      </w:r>
      <w:r>
        <w:rPr>
          <w:i/>
        </w:rPr>
        <w:t>Remedial action must be taken urgently</w:t>
      </w:r>
      <w:r>
        <w:t>.</w:t>
      </w:r>
    </w:p>
    <w:p w:rsidR="00A813BE" w:rsidRDefault="00B51F60" w:rsidP="006C0D25">
      <w:pPr>
        <w:spacing w:before="120" w:after="120"/>
      </w:pPr>
      <w:r w:rsidRPr="00184D55">
        <w:rPr>
          <w:rFonts w:cs="Arial"/>
          <w:b/>
          <w:bCs/>
        </w:rPr>
        <w:t>Medium residual risk</w:t>
      </w:r>
      <w:r w:rsidRPr="00184D55">
        <w:rPr>
          <w:rFonts w:cs="Arial"/>
          <w:bCs/>
        </w:rPr>
        <w:t>:</w:t>
      </w:r>
      <w:r>
        <w:rPr>
          <w:rFonts w:cs="Arial"/>
          <w:bCs/>
        </w:rPr>
        <w:t xml:space="preserve"> </w:t>
      </w:r>
      <w:r>
        <w:t xml:space="preserve">Less critical, but failure to address the issue or progress the work could impact on operational objectives and should be of concern to senior management. </w:t>
      </w:r>
      <w:r>
        <w:rPr>
          <w:i/>
        </w:rPr>
        <w:t>Prompt specific action should be taken</w:t>
      </w:r>
      <w:r>
        <w:t>. </w:t>
      </w:r>
    </w:p>
    <w:p w:rsidR="00A813BE" w:rsidRDefault="00B51F60" w:rsidP="006C0D25">
      <w:pPr>
        <w:tabs>
          <w:tab w:val="left" w:pos="284"/>
        </w:tabs>
        <w:spacing w:before="120" w:after="120"/>
        <w:rPr>
          <w:rFonts w:cs="Arial"/>
          <w:bCs/>
        </w:rPr>
      </w:pPr>
      <w:r w:rsidRPr="00184D55">
        <w:rPr>
          <w:rFonts w:cs="Arial"/>
          <w:b/>
          <w:bCs/>
        </w:rPr>
        <w:t>Low residual ris</w:t>
      </w:r>
      <w:r>
        <w:rPr>
          <w:rFonts w:cs="Arial"/>
          <w:b/>
          <w:bCs/>
        </w:rPr>
        <w:t>k</w:t>
      </w:r>
      <w:r w:rsidRPr="00184D55">
        <w:rPr>
          <w:rFonts w:cs="Arial"/>
          <w:bCs/>
        </w:rPr>
        <w:t>:</w:t>
      </w:r>
      <w:r>
        <w:rPr>
          <w:rFonts w:cs="Arial"/>
          <w:b/>
          <w:bCs/>
        </w:rPr>
        <w:t xml:space="preserve"> </w:t>
      </w:r>
      <w:r>
        <w:t>Areas that individually have no major impact on achieving the service objectives or on the work programme, but where combined with others could</w:t>
      </w:r>
      <w:r w:rsidRPr="006B1FE4">
        <w:rPr>
          <w:rFonts w:cs="Arial"/>
        </w:rPr>
        <w:t xml:space="preserve"> give cause for concern. </w:t>
      </w:r>
      <w:r>
        <w:rPr>
          <w:rFonts w:cs="Arial"/>
          <w:bCs/>
          <w:i/>
          <w:iCs/>
        </w:rPr>
        <w:t>Specific remedial action is desirable</w:t>
      </w:r>
      <w:r>
        <w:rPr>
          <w:rFonts w:cs="Arial"/>
          <w:bCs/>
          <w:iCs/>
        </w:rPr>
        <w:t>.</w:t>
      </w:r>
    </w:p>
    <w:p w:rsidR="00CC771C" w:rsidRDefault="00C6442D" w:rsidP="00C630F6">
      <w:pPr>
        <w:pStyle w:val="BodyText"/>
        <w:tabs>
          <w:tab w:val="left" w:pos="284"/>
        </w:tabs>
        <w:spacing w:before="120" w:after="120"/>
        <w:rPr>
          <w:b/>
          <w:sz w:val="28"/>
          <w:szCs w:val="28"/>
        </w:rPr>
      </w:pPr>
    </w:p>
    <w:p w:rsidR="00A813BE" w:rsidRDefault="00C6442D" w:rsidP="00C630F6">
      <w:pPr>
        <w:pStyle w:val="BodyText"/>
        <w:tabs>
          <w:tab w:val="left" w:pos="284"/>
        </w:tabs>
        <w:spacing w:before="120" w:after="120"/>
        <w:rPr>
          <w:b/>
          <w:sz w:val="28"/>
          <w:szCs w:val="28"/>
        </w:rPr>
        <w:sectPr w:rsidR="00A813BE" w:rsidSect="00864640">
          <w:headerReference w:type="default" r:id="rId14"/>
          <w:footerReference w:type="default" r:id="rId15"/>
          <w:pgSz w:w="11907" w:h="16840" w:code="9"/>
          <w:pgMar w:top="1440" w:right="1275" w:bottom="1077" w:left="1418" w:header="709" w:footer="585" w:gutter="0"/>
          <w:pgNumType w:start="1"/>
          <w:cols w:space="708"/>
          <w:docGrid w:linePitch="360"/>
        </w:sectPr>
      </w:pPr>
    </w:p>
    <w:p w:rsidR="00C146BB" w:rsidRPr="00065308" w:rsidRDefault="00B51F60" w:rsidP="008F2360">
      <w:pPr>
        <w:pStyle w:val="BodyText"/>
        <w:numPr>
          <w:ilvl w:val="0"/>
          <w:numId w:val="2"/>
        </w:numPr>
        <w:spacing w:before="240" w:after="120"/>
        <w:rPr>
          <w:b/>
          <w:sz w:val="28"/>
          <w:szCs w:val="28"/>
        </w:rPr>
      </w:pPr>
      <w:r>
        <w:rPr>
          <w:b/>
          <w:sz w:val="28"/>
          <w:szCs w:val="28"/>
        </w:rPr>
        <w:lastRenderedPageBreak/>
        <w:t xml:space="preserve">Assurance provided by internal audit </w:t>
      </w:r>
      <w:r w:rsidRPr="00065308">
        <w:rPr>
          <w:b/>
          <w:sz w:val="28"/>
          <w:szCs w:val="28"/>
        </w:rPr>
        <w:t xml:space="preserve">assignments </w:t>
      </w:r>
      <w:r>
        <w:rPr>
          <w:b/>
          <w:sz w:val="28"/>
          <w:szCs w:val="28"/>
        </w:rPr>
        <w:t xml:space="preserve">in </w:t>
      </w:r>
      <w:r w:rsidRPr="00065308">
        <w:rPr>
          <w:b/>
          <w:sz w:val="28"/>
          <w:szCs w:val="28"/>
        </w:rPr>
        <w:t>201</w:t>
      </w:r>
      <w:r>
        <w:rPr>
          <w:b/>
          <w:sz w:val="28"/>
          <w:szCs w:val="28"/>
        </w:rPr>
        <w:t>6</w:t>
      </w:r>
      <w:r w:rsidRPr="00065308">
        <w:rPr>
          <w:b/>
          <w:sz w:val="28"/>
          <w:szCs w:val="28"/>
        </w:rPr>
        <w:t>/1</w:t>
      </w:r>
      <w:r>
        <w:rPr>
          <w:b/>
          <w:sz w:val="28"/>
          <w:szCs w:val="28"/>
        </w:rPr>
        <w:t>7</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3969"/>
        <w:gridCol w:w="4394"/>
        <w:gridCol w:w="1418"/>
      </w:tblGrid>
      <w:tr w:rsidR="00950C6E" w:rsidTr="006612D8">
        <w:trPr>
          <w:trHeight w:val="315"/>
          <w:tblHeader/>
        </w:trPr>
        <w:tc>
          <w:tcPr>
            <w:tcW w:w="1843" w:type="dxa"/>
            <w:tcBorders>
              <w:bottom w:val="single" w:sz="4" w:space="0" w:color="auto"/>
            </w:tcBorders>
            <w:shd w:val="clear" w:color="auto" w:fill="D9D9D9" w:themeFill="background1" w:themeFillShade="D9"/>
            <w:noWrap/>
          </w:tcPr>
          <w:p w:rsidR="003D78D9" w:rsidRPr="003D78D9" w:rsidRDefault="00B51F60" w:rsidP="00D97831">
            <w:pPr>
              <w:rPr>
                <w:rFonts w:cs="Arial"/>
                <w:b/>
                <w:bCs/>
                <w:color w:val="000000"/>
                <w:sz w:val="22"/>
                <w:szCs w:val="22"/>
              </w:rPr>
            </w:pPr>
            <w:r w:rsidRPr="003D78D9">
              <w:rPr>
                <w:rFonts w:cs="Arial"/>
                <w:b/>
                <w:bCs/>
                <w:color w:val="000000"/>
                <w:sz w:val="22"/>
                <w:szCs w:val="22"/>
              </w:rPr>
              <w:t>Service area</w:t>
            </w:r>
          </w:p>
        </w:tc>
        <w:tc>
          <w:tcPr>
            <w:tcW w:w="2977" w:type="dxa"/>
            <w:tcBorders>
              <w:bottom w:val="single" w:sz="4" w:space="0" w:color="auto"/>
            </w:tcBorders>
            <w:shd w:val="clear" w:color="auto" w:fill="D9D9D9" w:themeFill="background1" w:themeFillShade="D9"/>
          </w:tcPr>
          <w:p w:rsidR="003D78D9" w:rsidRPr="003D78D9" w:rsidRDefault="00B51F60" w:rsidP="001118B2">
            <w:pPr>
              <w:rPr>
                <w:rFonts w:cs="Arial"/>
                <w:b/>
                <w:bCs/>
                <w:color w:val="000000"/>
                <w:sz w:val="22"/>
                <w:szCs w:val="22"/>
              </w:rPr>
            </w:pPr>
            <w:r w:rsidRPr="003D78D9">
              <w:rPr>
                <w:rFonts w:cs="Arial"/>
                <w:b/>
                <w:bCs/>
                <w:color w:val="000000"/>
                <w:sz w:val="22"/>
                <w:szCs w:val="22"/>
              </w:rPr>
              <w:t>Operational area</w:t>
            </w:r>
          </w:p>
        </w:tc>
        <w:tc>
          <w:tcPr>
            <w:tcW w:w="3969" w:type="dxa"/>
            <w:tcBorders>
              <w:bottom w:val="single" w:sz="4" w:space="0" w:color="auto"/>
            </w:tcBorders>
            <w:shd w:val="clear" w:color="auto" w:fill="D9D9D9" w:themeFill="background1" w:themeFillShade="D9"/>
            <w:noWrap/>
          </w:tcPr>
          <w:p w:rsidR="003D78D9" w:rsidRPr="003D78D9" w:rsidRDefault="00B51F60" w:rsidP="00D97831">
            <w:pPr>
              <w:rPr>
                <w:rFonts w:cs="Arial"/>
                <w:b/>
                <w:bCs/>
                <w:color w:val="000000"/>
                <w:sz w:val="22"/>
                <w:szCs w:val="22"/>
              </w:rPr>
            </w:pPr>
            <w:r w:rsidRPr="003D78D9">
              <w:rPr>
                <w:rFonts w:cs="Arial"/>
                <w:b/>
                <w:bCs/>
                <w:color w:val="000000"/>
                <w:sz w:val="22"/>
                <w:szCs w:val="22"/>
              </w:rPr>
              <w:t>Audit work</w:t>
            </w:r>
          </w:p>
        </w:tc>
        <w:tc>
          <w:tcPr>
            <w:tcW w:w="4394" w:type="dxa"/>
            <w:tcBorders>
              <w:bottom w:val="single" w:sz="4" w:space="0" w:color="auto"/>
            </w:tcBorders>
            <w:shd w:val="clear" w:color="auto" w:fill="D9D9D9" w:themeFill="background1" w:themeFillShade="D9"/>
          </w:tcPr>
          <w:p w:rsidR="003D78D9" w:rsidRPr="00BB1415" w:rsidRDefault="00B51F60" w:rsidP="0065339F">
            <w:pPr>
              <w:rPr>
                <w:rFonts w:cs="Arial"/>
                <w:b/>
                <w:bCs/>
                <w:color w:val="000000"/>
                <w:sz w:val="22"/>
                <w:szCs w:val="22"/>
              </w:rPr>
            </w:pPr>
            <w:r w:rsidRPr="00BB1415">
              <w:rPr>
                <w:rFonts w:cs="Arial"/>
                <w:b/>
                <w:bCs/>
                <w:color w:val="000000"/>
                <w:sz w:val="22"/>
                <w:szCs w:val="22"/>
              </w:rPr>
              <w:t>Findings</w:t>
            </w:r>
          </w:p>
        </w:tc>
        <w:tc>
          <w:tcPr>
            <w:tcW w:w="1418" w:type="dxa"/>
            <w:tcBorders>
              <w:bottom w:val="single" w:sz="4" w:space="0" w:color="auto"/>
            </w:tcBorders>
            <w:shd w:val="clear" w:color="auto" w:fill="D9D9D9" w:themeFill="background1" w:themeFillShade="D9"/>
          </w:tcPr>
          <w:p w:rsidR="003D78D9" w:rsidRPr="003D78D9" w:rsidRDefault="00B51F60" w:rsidP="00D97831">
            <w:pPr>
              <w:rPr>
                <w:rFonts w:cs="Arial"/>
                <w:b/>
                <w:bCs/>
                <w:color w:val="000000"/>
                <w:sz w:val="22"/>
                <w:szCs w:val="22"/>
              </w:rPr>
            </w:pPr>
            <w:r w:rsidRPr="003D78D9">
              <w:rPr>
                <w:rFonts w:cs="Arial"/>
                <w:b/>
                <w:bCs/>
                <w:color w:val="000000"/>
                <w:sz w:val="22"/>
                <w:szCs w:val="22"/>
              </w:rPr>
              <w:t>Assurance</w:t>
            </w:r>
          </w:p>
        </w:tc>
      </w:tr>
      <w:tr w:rsidR="00950C6E" w:rsidTr="006612D8">
        <w:trPr>
          <w:trHeight w:val="315"/>
        </w:trPr>
        <w:tc>
          <w:tcPr>
            <w:tcW w:w="4820" w:type="dxa"/>
            <w:gridSpan w:val="2"/>
            <w:tcBorders>
              <w:bottom w:val="single" w:sz="4" w:space="0" w:color="auto"/>
              <w:right w:val="nil"/>
            </w:tcBorders>
            <w:shd w:val="clear" w:color="auto" w:fill="F2F2F2" w:themeFill="background1" w:themeFillShade="F2"/>
            <w:noWrap/>
            <w:hideMark/>
          </w:tcPr>
          <w:p w:rsidR="003D78D9" w:rsidRPr="003D78D9" w:rsidRDefault="00B51F60" w:rsidP="00D97831">
            <w:pPr>
              <w:rPr>
                <w:rFonts w:cs="Arial"/>
                <w:color w:val="000000"/>
                <w:sz w:val="22"/>
                <w:szCs w:val="22"/>
              </w:rPr>
            </w:pPr>
            <w:r w:rsidRPr="003D78D9">
              <w:rPr>
                <w:rFonts w:cs="Arial"/>
                <w:b/>
                <w:bCs/>
                <w:color w:val="000000"/>
                <w:sz w:val="22"/>
                <w:szCs w:val="22"/>
              </w:rPr>
              <w:t>Governance and democratic oversight</w:t>
            </w:r>
          </w:p>
        </w:tc>
        <w:tc>
          <w:tcPr>
            <w:tcW w:w="3969" w:type="dxa"/>
            <w:tcBorders>
              <w:left w:val="nil"/>
              <w:bottom w:val="single" w:sz="4" w:space="0" w:color="auto"/>
              <w:right w:val="nil"/>
            </w:tcBorders>
            <w:shd w:val="clear" w:color="auto" w:fill="F2F2F2" w:themeFill="background1" w:themeFillShade="F2"/>
          </w:tcPr>
          <w:p w:rsidR="003D78D9" w:rsidRPr="003D78D9" w:rsidRDefault="00C6442D" w:rsidP="00D97831">
            <w:pPr>
              <w:rPr>
                <w:rFonts w:cs="Arial"/>
                <w:color w:val="000000"/>
                <w:sz w:val="22"/>
                <w:szCs w:val="22"/>
              </w:rPr>
            </w:pPr>
          </w:p>
        </w:tc>
        <w:tc>
          <w:tcPr>
            <w:tcW w:w="4394" w:type="dxa"/>
            <w:tcBorders>
              <w:left w:val="nil"/>
              <w:bottom w:val="single" w:sz="4" w:space="0" w:color="auto"/>
              <w:right w:val="nil"/>
            </w:tcBorders>
            <w:shd w:val="clear" w:color="auto" w:fill="F2F2F2" w:themeFill="background1" w:themeFillShade="F2"/>
          </w:tcPr>
          <w:p w:rsidR="003D78D9" w:rsidRPr="003D78D9" w:rsidRDefault="00C6442D" w:rsidP="00D97831">
            <w:pPr>
              <w:rPr>
                <w:rFonts w:cs="Arial"/>
                <w:color w:val="000000"/>
                <w:sz w:val="22"/>
                <w:szCs w:val="22"/>
              </w:rPr>
            </w:pPr>
          </w:p>
        </w:tc>
        <w:tc>
          <w:tcPr>
            <w:tcW w:w="1418" w:type="dxa"/>
            <w:tcBorders>
              <w:left w:val="nil"/>
              <w:bottom w:val="single" w:sz="4" w:space="0" w:color="auto"/>
            </w:tcBorders>
            <w:shd w:val="clear" w:color="auto" w:fill="F2F2F2" w:themeFill="background1" w:themeFillShade="F2"/>
          </w:tcPr>
          <w:p w:rsidR="003D78D9" w:rsidRPr="003D78D9" w:rsidRDefault="00C6442D" w:rsidP="00D97831">
            <w:pPr>
              <w:rPr>
                <w:rFonts w:cs="Arial"/>
                <w:color w:val="000000"/>
                <w:sz w:val="22"/>
                <w:szCs w:val="22"/>
              </w:rPr>
            </w:pPr>
          </w:p>
        </w:tc>
      </w:tr>
      <w:tr w:rsidR="00950C6E" w:rsidTr="006612D8">
        <w:trPr>
          <w:trHeight w:val="1206"/>
        </w:trPr>
        <w:tc>
          <w:tcPr>
            <w:tcW w:w="1843" w:type="dxa"/>
            <w:tcBorders>
              <w:bottom w:val="nil"/>
            </w:tcBorders>
            <w:shd w:val="clear" w:color="auto" w:fill="auto"/>
            <w:noWrap/>
            <w:hideMark/>
          </w:tcPr>
          <w:p w:rsidR="003D78D9" w:rsidRPr="003D78D9" w:rsidRDefault="00B51F60" w:rsidP="00D97831">
            <w:pPr>
              <w:rPr>
                <w:rFonts w:cs="Arial"/>
                <w:color w:val="000000"/>
                <w:sz w:val="22"/>
                <w:szCs w:val="22"/>
              </w:rPr>
            </w:pPr>
            <w:r w:rsidRPr="003D78D9">
              <w:rPr>
                <w:rFonts w:cs="Arial"/>
                <w:color w:val="000000"/>
                <w:sz w:val="22"/>
                <w:szCs w:val="22"/>
              </w:rPr>
              <w:t>Corporate governance framework</w:t>
            </w:r>
          </w:p>
        </w:tc>
        <w:tc>
          <w:tcPr>
            <w:tcW w:w="2977" w:type="dxa"/>
          </w:tcPr>
          <w:p w:rsidR="003D78D9" w:rsidRPr="00322DD5" w:rsidRDefault="00B51F60" w:rsidP="00E724AD">
            <w:pPr>
              <w:rPr>
                <w:rFonts w:cs="Arial"/>
                <w:color w:val="000000"/>
                <w:sz w:val="22"/>
                <w:szCs w:val="22"/>
              </w:rPr>
            </w:pPr>
            <w:r w:rsidRPr="00322DD5">
              <w:rPr>
                <w:rFonts w:cs="Arial"/>
                <w:color w:val="000000"/>
                <w:sz w:val="22"/>
                <w:szCs w:val="22"/>
              </w:rPr>
              <w:t>Documentation of the council's governance arrangements: the framework that addresses the council's constitutional decision-making and delegation of powers</w:t>
            </w:r>
          </w:p>
        </w:tc>
        <w:tc>
          <w:tcPr>
            <w:tcW w:w="3969" w:type="dxa"/>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Review of the ownership, completeness and currency of documentation the council is required to hold, publicise and periodically review setting out its governance arrangements for decision-making and delegation of powers.</w:t>
            </w:r>
          </w:p>
        </w:tc>
        <w:tc>
          <w:tcPr>
            <w:tcW w:w="4394" w:type="dxa"/>
          </w:tcPr>
          <w:p w:rsidR="003D78D9" w:rsidRPr="003D78D9" w:rsidRDefault="00B51F60" w:rsidP="00D97831">
            <w:pPr>
              <w:rPr>
                <w:rFonts w:cs="Arial"/>
                <w:sz w:val="22"/>
                <w:szCs w:val="22"/>
              </w:rPr>
            </w:pPr>
            <w:r w:rsidRPr="003D78D9">
              <w:rPr>
                <w:rFonts w:cs="Arial"/>
                <w:sz w:val="22"/>
                <w:szCs w:val="22"/>
              </w:rPr>
              <w:t>All of the documentation that would be expected to be in place to underpin constitutional decision-making and delegation of powers exists, as does most of the wider documentation required by the CIPFA/ SOLACE publication 'Good governance in local government: framework 2016'.</w:t>
            </w:r>
          </w:p>
        </w:tc>
        <w:tc>
          <w:tcPr>
            <w:tcW w:w="1418" w:type="dxa"/>
          </w:tcPr>
          <w:p w:rsidR="003D78D9" w:rsidRPr="003D78D9" w:rsidRDefault="00B51F60" w:rsidP="00D97831">
            <w:pPr>
              <w:rPr>
                <w:rFonts w:cs="Arial"/>
                <w:color w:val="000000"/>
                <w:sz w:val="22"/>
                <w:szCs w:val="22"/>
              </w:rPr>
            </w:pPr>
            <w:r w:rsidRPr="003D78D9">
              <w:rPr>
                <w:rFonts w:cs="Arial"/>
                <w:color w:val="000000"/>
                <w:sz w:val="22"/>
                <w:szCs w:val="22"/>
              </w:rPr>
              <w:t>Substantial</w:t>
            </w:r>
          </w:p>
        </w:tc>
      </w:tr>
      <w:tr w:rsidR="00950C6E" w:rsidTr="006612D8">
        <w:trPr>
          <w:trHeight w:val="300"/>
        </w:trPr>
        <w:tc>
          <w:tcPr>
            <w:tcW w:w="1843" w:type="dxa"/>
            <w:tcBorders>
              <w:top w:val="nil"/>
              <w:bottom w:val="nil"/>
            </w:tcBorders>
            <w:shd w:val="clear" w:color="auto" w:fill="auto"/>
            <w:noWrap/>
          </w:tcPr>
          <w:p w:rsidR="003D78D9" w:rsidRPr="003D78D9" w:rsidRDefault="00C6442D" w:rsidP="00D97831">
            <w:pPr>
              <w:rPr>
                <w:rFonts w:cs="Arial"/>
                <w:color w:val="000000"/>
                <w:sz w:val="22"/>
                <w:szCs w:val="22"/>
              </w:rPr>
            </w:pP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Operation of the scheme of delegation to officers</w:t>
            </w:r>
          </w:p>
        </w:tc>
        <w:tc>
          <w:tcPr>
            <w:tcW w:w="3969" w:type="dxa"/>
            <w:tcBorders>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Review of the introduction of the revised scheme of delegation and its operation in practice.</w:t>
            </w:r>
          </w:p>
        </w:tc>
        <w:tc>
          <w:tcPr>
            <w:tcW w:w="4394" w:type="dxa"/>
            <w:tcBorders>
              <w:bottom w:val="single" w:sz="4" w:space="0" w:color="auto"/>
            </w:tcBorders>
          </w:tcPr>
          <w:p w:rsidR="003D78D9" w:rsidRPr="003D78D9" w:rsidRDefault="00B51F60" w:rsidP="005155A7">
            <w:pPr>
              <w:rPr>
                <w:rFonts w:cs="Arial"/>
                <w:sz w:val="22"/>
                <w:szCs w:val="22"/>
              </w:rPr>
            </w:pPr>
            <w:r w:rsidRPr="003D78D9">
              <w:rPr>
                <w:rFonts w:cs="Arial"/>
                <w:sz w:val="22"/>
                <w:szCs w:val="22"/>
              </w:rPr>
              <w:t>This work will continue into the audit plan for 2017/18.</w:t>
            </w:r>
          </w:p>
        </w:tc>
        <w:tc>
          <w:tcPr>
            <w:tcW w:w="1418" w:type="dxa"/>
            <w:tcBorders>
              <w:bottom w:val="single" w:sz="4" w:space="0" w:color="auto"/>
            </w:tcBorders>
          </w:tcPr>
          <w:p w:rsidR="003D78D9" w:rsidRPr="003D78D9" w:rsidRDefault="00B51F60" w:rsidP="00D97831">
            <w:pPr>
              <w:rPr>
                <w:rFonts w:cs="Arial"/>
                <w:color w:val="000000"/>
                <w:sz w:val="22"/>
                <w:szCs w:val="22"/>
              </w:rPr>
            </w:pPr>
            <w:r w:rsidRPr="002D7F0C">
              <w:rPr>
                <w:rFonts w:cs="Arial"/>
                <w:sz w:val="22"/>
                <w:szCs w:val="22"/>
              </w:rPr>
              <w:t>Not applicable</w:t>
            </w:r>
          </w:p>
        </w:tc>
      </w:tr>
      <w:tr w:rsidR="00950C6E" w:rsidTr="006612D8">
        <w:trPr>
          <w:trHeight w:val="300"/>
        </w:trPr>
        <w:tc>
          <w:tcPr>
            <w:tcW w:w="1843" w:type="dxa"/>
            <w:tcBorders>
              <w:top w:val="nil"/>
              <w:bottom w:val="single" w:sz="4" w:space="0" w:color="auto"/>
            </w:tcBorders>
            <w:shd w:val="clear" w:color="auto" w:fill="auto"/>
            <w:noWrap/>
          </w:tcPr>
          <w:p w:rsidR="003D78D9" w:rsidRPr="0065339F" w:rsidRDefault="00C6442D" w:rsidP="00D97831">
            <w:pPr>
              <w:rPr>
                <w:rFonts w:cs="Arial"/>
                <w:color w:val="4F81BD" w:themeColor="accent1"/>
                <w:sz w:val="22"/>
                <w:szCs w:val="22"/>
              </w:rPr>
            </w:pPr>
          </w:p>
        </w:tc>
        <w:tc>
          <w:tcPr>
            <w:tcW w:w="2977" w:type="dxa"/>
            <w:tcBorders>
              <w:bottom w:val="single" w:sz="4" w:space="0" w:color="auto"/>
            </w:tcBorders>
          </w:tcPr>
          <w:p w:rsidR="003D78D9" w:rsidRPr="0065339F" w:rsidRDefault="00B51F60" w:rsidP="00E724AD">
            <w:pPr>
              <w:rPr>
                <w:rFonts w:cs="Arial"/>
                <w:color w:val="4F81BD" w:themeColor="accent1"/>
                <w:sz w:val="22"/>
                <w:szCs w:val="22"/>
              </w:rPr>
            </w:pPr>
            <w:r w:rsidRPr="00E724AD">
              <w:rPr>
                <w:rFonts w:cs="Arial"/>
                <w:color w:val="000000"/>
                <w:sz w:val="22"/>
                <w:szCs w:val="22"/>
              </w:rPr>
              <w:t>Effective oversight of corporate governance by the Audit and Governance Committee</w:t>
            </w:r>
          </w:p>
        </w:tc>
        <w:tc>
          <w:tcPr>
            <w:tcW w:w="3969" w:type="dxa"/>
            <w:tcBorders>
              <w:bottom w:val="single" w:sz="4" w:space="0" w:color="auto"/>
            </w:tcBorders>
            <w:shd w:val="clear" w:color="auto" w:fill="auto"/>
            <w:noWrap/>
          </w:tcPr>
          <w:p w:rsidR="003D78D9" w:rsidRPr="000F010C" w:rsidRDefault="00B51F60" w:rsidP="00D97831">
            <w:pPr>
              <w:rPr>
                <w:rFonts w:cs="Arial"/>
                <w:sz w:val="22"/>
                <w:szCs w:val="22"/>
              </w:rPr>
            </w:pPr>
            <w:r w:rsidRPr="000F010C">
              <w:rPr>
                <w:rFonts w:cs="Arial"/>
                <w:sz w:val="22"/>
                <w:szCs w:val="22"/>
              </w:rPr>
              <w:t>Assessment of the constitution and operation of the Audit and Governance Committee against professional guidance and current best practice.</w:t>
            </w:r>
          </w:p>
        </w:tc>
        <w:tc>
          <w:tcPr>
            <w:tcW w:w="4394" w:type="dxa"/>
            <w:tcBorders>
              <w:bottom w:val="single" w:sz="4" w:space="0" w:color="auto"/>
            </w:tcBorders>
          </w:tcPr>
          <w:p w:rsidR="005D7E72" w:rsidRPr="000F010C" w:rsidRDefault="00B51F60" w:rsidP="005D7E72">
            <w:pPr>
              <w:rPr>
                <w:rFonts w:cs="Arial"/>
                <w:sz w:val="22"/>
                <w:szCs w:val="22"/>
              </w:rPr>
            </w:pPr>
            <w:r w:rsidRPr="000F010C">
              <w:rPr>
                <w:rFonts w:cs="Arial"/>
                <w:sz w:val="22"/>
                <w:szCs w:val="22"/>
              </w:rPr>
              <w:t>An assessment has been made and revised terms of reference for the committee will be taken to Council in July 2017.</w:t>
            </w:r>
          </w:p>
        </w:tc>
        <w:tc>
          <w:tcPr>
            <w:tcW w:w="1418" w:type="dxa"/>
            <w:tcBorders>
              <w:bottom w:val="single" w:sz="4" w:space="0" w:color="auto"/>
            </w:tcBorders>
          </w:tcPr>
          <w:p w:rsidR="003D78D9" w:rsidRPr="0065339F" w:rsidRDefault="00B51F60" w:rsidP="00D97831">
            <w:pPr>
              <w:rPr>
                <w:rFonts w:cs="Arial"/>
                <w:color w:val="4F81BD" w:themeColor="accent1"/>
                <w:sz w:val="22"/>
                <w:szCs w:val="22"/>
              </w:rPr>
            </w:pPr>
            <w:r w:rsidRPr="000F010C">
              <w:rPr>
                <w:rFonts w:cs="Arial"/>
                <w:sz w:val="22"/>
                <w:szCs w:val="22"/>
              </w:rPr>
              <w:t>Not applicable</w:t>
            </w:r>
          </w:p>
        </w:tc>
      </w:tr>
      <w:tr w:rsidR="00950C6E" w:rsidTr="006612D8">
        <w:trPr>
          <w:trHeight w:val="315"/>
        </w:trPr>
        <w:tc>
          <w:tcPr>
            <w:tcW w:w="4820" w:type="dxa"/>
            <w:gridSpan w:val="2"/>
            <w:tcBorders>
              <w:right w:val="nil"/>
            </w:tcBorders>
            <w:shd w:val="clear" w:color="auto" w:fill="F2F2F2" w:themeFill="background1" w:themeFillShade="F2"/>
            <w:noWrap/>
            <w:hideMark/>
          </w:tcPr>
          <w:p w:rsidR="003D78D9" w:rsidRPr="003D78D9" w:rsidRDefault="00B51F60" w:rsidP="00D97831">
            <w:pPr>
              <w:rPr>
                <w:rFonts w:cs="Arial"/>
                <w:b/>
                <w:bCs/>
                <w:color w:val="000000"/>
                <w:sz w:val="22"/>
                <w:szCs w:val="22"/>
              </w:rPr>
            </w:pPr>
            <w:r w:rsidRPr="003D78D9">
              <w:rPr>
                <w:rFonts w:cs="Arial"/>
                <w:b/>
                <w:bCs/>
                <w:color w:val="000000"/>
                <w:sz w:val="22"/>
                <w:szCs w:val="22"/>
              </w:rPr>
              <w:t>Business effectiveness</w:t>
            </w:r>
          </w:p>
        </w:tc>
        <w:tc>
          <w:tcPr>
            <w:tcW w:w="3969" w:type="dxa"/>
            <w:tcBorders>
              <w:left w:val="nil"/>
              <w:right w:val="nil"/>
            </w:tcBorders>
            <w:shd w:val="clear" w:color="auto" w:fill="F2F2F2" w:themeFill="background1" w:themeFillShade="F2"/>
          </w:tcPr>
          <w:p w:rsidR="003D78D9" w:rsidRPr="003D78D9" w:rsidRDefault="00C6442D" w:rsidP="00D97831">
            <w:pPr>
              <w:rPr>
                <w:rFonts w:cs="Arial"/>
                <w:b/>
                <w:bCs/>
                <w:color w:val="000000"/>
                <w:sz w:val="22"/>
                <w:szCs w:val="22"/>
              </w:rPr>
            </w:pPr>
          </w:p>
        </w:tc>
        <w:tc>
          <w:tcPr>
            <w:tcW w:w="4394" w:type="dxa"/>
            <w:tcBorders>
              <w:left w:val="nil"/>
              <w:right w:val="nil"/>
            </w:tcBorders>
            <w:shd w:val="clear" w:color="auto" w:fill="F2F2F2" w:themeFill="background1" w:themeFillShade="F2"/>
          </w:tcPr>
          <w:p w:rsidR="003D78D9" w:rsidRPr="003D78D9" w:rsidRDefault="00C6442D" w:rsidP="00D97831">
            <w:pPr>
              <w:rPr>
                <w:rFonts w:cs="Arial"/>
                <w:b/>
                <w:bCs/>
                <w:color w:val="000000"/>
                <w:sz w:val="22"/>
                <w:szCs w:val="22"/>
              </w:rPr>
            </w:pPr>
          </w:p>
        </w:tc>
        <w:tc>
          <w:tcPr>
            <w:tcW w:w="1418" w:type="dxa"/>
            <w:tcBorders>
              <w:left w:val="nil"/>
            </w:tcBorders>
            <w:shd w:val="clear" w:color="auto" w:fill="F2F2F2" w:themeFill="background1" w:themeFillShade="F2"/>
          </w:tcPr>
          <w:p w:rsidR="003D78D9" w:rsidRPr="003D78D9" w:rsidRDefault="00C6442D" w:rsidP="00D97831">
            <w:pPr>
              <w:rPr>
                <w:rFonts w:cs="Arial"/>
                <w:b/>
                <w:bCs/>
                <w:color w:val="000000"/>
                <w:sz w:val="22"/>
                <w:szCs w:val="22"/>
              </w:rPr>
            </w:pPr>
          </w:p>
        </w:tc>
      </w:tr>
      <w:tr w:rsidR="00950C6E" w:rsidTr="006612D8">
        <w:trPr>
          <w:trHeight w:val="300"/>
        </w:trPr>
        <w:tc>
          <w:tcPr>
            <w:tcW w:w="1843" w:type="dxa"/>
            <w:tcBorders>
              <w:bottom w:val="single" w:sz="4" w:space="0" w:color="auto"/>
            </w:tcBorders>
            <w:shd w:val="clear" w:color="auto" w:fill="auto"/>
            <w:noWrap/>
            <w:hideMark/>
          </w:tcPr>
          <w:p w:rsidR="003D78D9" w:rsidRPr="003D78D9" w:rsidRDefault="00B51F60" w:rsidP="00D97831">
            <w:pPr>
              <w:rPr>
                <w:rFonts w:cs="Arial"/>
                <w:color w:val="000000"/>
                <w:sz w:val="22"/>
                <w:szCs w:val="22"/>
              </w:rPr>
            </w:pPr>
            <w:r w:rsidRPr="003D78D9">
              <w:rPr>
                <w:rFonts w:cs="Arial"/>
                <w:color w:val="000000"/>
                <w:sz w:val="22"/>
                <w:szCs w:val="22"/>
              </w:rPr>
              <w:t>Risk management</w:t>
            </w: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Preparation and use of the corporate risk register</w:t>
            </w:r>
          </w:p>
        </w:tc>
        <w:tc>
          <w:tcPr>
            <w:tcW w:w="3969" w:type="dxa"/>
            <w:tcBorders>
              <w:bottom w:val="single" w:sz="4" w:space="0" w:color="auto"/>
            </w:tcBorders>
            <w:shd w:val="clear" w:color="auto" w:fill="auto"/>
            <w:noWrap/>
            <w:hideMark/>
          </w:tcPr>
          <w:p w:rsidR="003D78D9" w:rsidRPr="003D78D9" w:rsidRDefault="00B51F60" w:rsidP="00D97831">
            <w:pPr>
              <w:rPr>
                <w:rFonts w:cs="Arial"/>
                <w:color w:val="000000"/>
                <w:sz w:val="22"/>
                <w:szCs w:val="22"/>
              </w:rPr>
            </w:pPr>
            <w:r w:rsidRPr="003D78D9">
              <w:rPr>
                <w:rFonts w:cs="Arial"/>
                <w:color w:val="000000"/>
                <w:sz w:val="22"/>
                <w:szCs w:val="22"/>
              </w:rPr>
              <w:t>Assessment of the principles and practical operation of risk management arrangements to produce a corporate risk register and respond to the issues it records.</w:t>
            </w:r>
          </w:p>
        </w:tc>
        <w:tc>
          <w:tcPr>
            <w:tcW w:w="4394" w:type="dxa"/>
            <w:tcBorders>
              <w:bottom w:val="single" w:sz="4" w:space="0" w:color="auto"/>
            </w:tcBorders>
          </w:tcPr>
          <w:p w:rsidR="003D78D9" w:rsidRPr="003D78D9" w:rsidRDefault="00B51F60" w:rsidP="00D97831">
            <w:pPr>
              <w:rPr>
                <w:rFonts w:cs="Arial"/>
                <w:sz w:val="22"/>
                <w:szCs w:val="22"/>
              </w:rPr>
            </w:pPr>
            <w:r w:rsidRPr="003D78D9">
              <w:rPr>
                <w:rFonts w:cs="Arial"/>
                <w:sz w:val="22"/>
                <w:szCs w:val="22"/>
              </w:rPr>
              <w:t>The process by which the corporate and service risk registers are prepared is still relatively new and, although there are differences in the extent to which it is understood by individual services, the arrangements are operating as intended overall.</w:t>
            </w:r>
          </w:p>
        </w:tc>
        <w:tc>
          <w:tcPr>
            <w:tcW w:w="1418" w:type="dxa"/>
            <w:tcBorders>
              <w:bottom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Substantial</w:t>
            </w:r>
          </w:p>
        </w:tc>
      </w:tr>
      <w:tr w:rsidR="00950C6E" w:rsidTr="006612D8">
        <w:trPr>
          <w:trHeight w:val="300"/>
        </w:trPr>
        <w:tc>
          <w:tcPr>
            <w:tcW w:w="1843" w:type="dxa"/>
            <w:tcBorders>
              <w:left w:val="nil"/>
              <w:bottom w:val="nil"/>
              <w:right w:val="nil"/>
            </w:tcBorders>
            <w:shd w:val="clear" w:color="auto" w:fill="auto"/>
            <w:noWrap/>
          </w:tcPr>
          <w:p w:rsidR="00BB1415" w:rsidRPr="003D78D9" w:rsidRDefault="00C6442D" w:rsidP="00D97831">
            <w:pPr>
              <w:rPr>
                <w:rFonts w:cs="Arial"/>
                <w:color w:val="000000"/>
                <w:sz w:val="22"/>
                <w:szCs w:val="22"/>
              </w:rPr>
            </w:pPr>
          </w:p>
        </w:tc>
        <w:tc>
          <w:tcPr>
            <w:tcW w:w="2977" w:type="dxa"/>
            <w:tcBorders>
              <w:left w:val="nil"/>
              <w:bottom w:val="nil"/>
              <w:right w:val="nil"/>
            </w:tcBorders>
          </w:tcPr>
          <w:p w:rsidR="00BB1415" w:rsidRPr="003D78D9" w:rsidRDefault="00C6442D" w:rsidP="00D97831">
            <w:pPr>
              <w:rPr>
                <w:rFonts w:cs="Arial"/>
                <w:color w:val="000000"/>
                <w:sz w:val="22"/>
                <w:szCs w:val="22"/>
              </w:rPr>
            </w:pPr>
          </w:p>
        </w:tc>
        <w:tc>
          <w:tcPr>
            <w:tcW w:w="3969" w:type="dxa"/>
            <w:tcBorders>
              <w:left w:val="nil"/>
              <w:bottom w:val="nil"/>
              <w:right w:val="nil"/>
            </w:tcBorders>
            <w:shd w:val="clear" w:color="auto" w:fill="auto"/>
            <w:noWrap/>
          </w:tcPr>
          <w:p w:rsidR="00BB1415" w:rsidRPr="003D78D9" w:rsidRDefault="00C6442D" w:rsidP="00D97831">
            <w:pPr>
              <w:rPr>
                <w:rFonts w:cs="Arial"/>
                <w:color w:val="000000"/>
                <w:sz w:val="22"/>
                <w:szCs w:val="22"/>
              </w:rPr>
            </w:pPr>
          </w:p>
        </w:tc>
        <w:tc>
          <w:tcPr>
            <w:tcW w:w="4394" w:type="dxa"/>
            <w:tcBorders>
              <w:left w:val="nil"/>
              <w:bottom w:val="nil"/>
              <w:right w:val="nil"/>
            </w:tcBorders>
          </w:tcPr>
          <w:p w:rsidR="00BB1415" w:rsidRPr="003D78D9" w:rsidRDefault="00C6442D" w:rsidP="00D97831">
            <w:pPr>
              <w:rPr>
                <w:rFonts w:cs="Arial"/>
                <w:sz w:val="22"/>
                <w:szCs w:val="22"/>
              </w:rPr>
            </w:pPr>
          </w:p>
        </w:tc>
        <w:tc>
          <w:tcPr>
            <w:tcW w:w="1418" w:type="dxa"/>
            <w:tcBorders>
              <w:left w:val="nil"/>
              <w:bottom w:val="nil"/>
              <w:right w:val="nil"/>
            </w:tcBorders>
          </w:tcPr>
          <w:p w:rsidR="00BB1415" w:rsidRPr="003D78D9" w:rsidRDefault="00C6442D" w:rsidP="00D97831">
            <w:pPr>
              <w:rPr>
                <w:rFonts w:cs="Arial"/>
                <w:sz w:val="22"/>
                <w:szCs w:val="22"/>
              </w:rPr>
            </w:pPr>
          </w:p>
        </w:tc>
      </w:tr>
      <w:tr w:rsidR="00950C6E" w:rsidTr="006612D8">
        <w:trPr>
          <w:trHeight w:val="300"/>
        </w:trPr>
        <w:tc>
          <w:tcPr>
            <w:tcW w:w="1843" w:type="dxa"/>
            <w:tcBorders>
              <w:top w:val="nil"/>
              <w:bottom w:val="nil"/>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lastRenderedPageBreak/>
              <w:t>Financial governance</w:t>
            </w:r>
          </w:p>
        </w:tc>
        <w:tc>
          <w:tcPr>
            <w:tcW w:w="2977" w:type="dxa"/>
            <w:tcBorders>
              <w:top w:val="nil"/>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Delivery of the council's financial strategy and budget reductions</w:t>
            </w:r>
          </w:p>
        </w:tc>
        <w:tc>
          <w:tcPr>
            <w:tcW w:w="3969" w:type="dxa"/>
            <w:tcBorders>
              <w:top w:val="nil"/>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assessment of the measures in place to monitor and achieve planned budget reductions.</w:t>
            </w:r>
          </w:p>
        </w:tc>
        <w:tc>
          <w:tcPr>
            <w:tcW w:w="4394" w:type="dxa"/>
            <w:tcBorders>
              <w:top w:val="nil"/>
              <w:bottom w:val="single" w:sz="4" w:space="0" w:color="auto"/>
            </w:tcBorders>
          </w:tcPr>
          <w:p w:rsidR="003D78D9" w:rsidRPr="003D78D9" w:rsidRDefault="00B51F60" w:rsidP="005D7E72">
            <w:pPr>
              <w:rPr>
                <w:rFonts w:cs="Arial"/>
                <w:sz w:val="22"/>
                <w:szCs w:val="22"/>
              </w:rPr>
            </w:pPr>
            <w:r w:rsidRPr="003D78D9">
              <w:rPr>
                <w:rFonts w:cs="Arial"/>
                <w:sz w:val="22"/>
                <w:szCs w:val="22"/>
              </w:rPr>
              <w:t>On the basis of PricewaterhouseCoopers' report dated 23 September 2016</w:t>
            </w:r>
            <w:r>
              <w:rPr>
                <w:rFonts w:cs="Arial"/>
                <w:sz w:val="22"/>
                <w:szCs w:val="22"/>
              </w:rPr>
              <w:t xml:space="preserve"> </w:t>
            </w:r>
            <w:r w:rsidRPr="003D78D9">
              <w:rPr>
                <w:rFonts w:cs="Arial"/>
                <w:sz w:val="22"/>
                <w:szCs w:val="22"/>
              </w:rPr>
              <w:t xml:space="preserve">the committee </w:t>
            </w:r>
            <w:r>
              <w:rPr>
                <w:rFonts w:cs="Arial"/>
                <w:sz w:val="22"/>
                <w:szCs w:val="22"/>
              </w:rPr>
              <w:t>can</w:t>
            </w:r>
            <w:r w:rsidRPr="003D78D9">
              <w:rPr>
                <w:rFonts w:cs="Arial"/>
                <w:sz w:val="22"/>
                <w:szCs w:val="22"/>
              </w:rPr>
              <w:t xml:space="preserve"> take no more than limited assurance that the risks to delivery of the council's financial strategy and budget reductions have been adequately mitigated.</w:t>
            </w:r>
          </w:p>
        </w:tc>
        <w:tc>
          <w:tcPr>
            <w:tcW w:w="1418" w:type="dxa"/>
            <w:tcBorders>
              <w:top w:val="nil"/>
              <w:bottom w:val="single" w:sz="4" w:space="0" w:color="auto"/>
            </w:tcBorders>
          </w:tcPr>
          <w:p w:rsidR="003D78D9" w:rsidRPr="003D78D9" w:rsidRDefault="00B51F60" w:rsidP="00D97831">
            <w:pPr>
              <w:rPr>
                <w:rFonts w:cs="Arial"/>
                <w:color w:val="000000"/>
                <w:sz w:val="22"/>
                <w:szCs w:val="22"/>
              </w:rPr>
            </w:pPr>
            <w:r w:rsidRPr="003D78D9">
              <w:rPr>
                <w:rFonts w:cs="Arial"/>
                <w:sz w:val="22"/>
                <w:szCs w:val="22"/>
              </w:rPr>
              <w:t>Limited</w:t>
            </w:r>
          </w:p>
        </w:tc>
      </w:tr>
      <w:tr w:rsidR="00950C6E" w:rsidTr="006612D8">
        <w:trPr>
          <w:trHeight w:val="300"/>
        </w:trPr>
        <w:tc>
          <w:tcPr>
            <w:tcW w:w="1843" w:type="dxa"/>
            <w:tcBorders>
              <w:top w:val="nil"/>
              <w:bottom w:val="nil"/>
            </w:tcBorders>
            <w:shd w:val="clear" w:color="auto" w:fill="auto"/>
            <w:noWrap/>
          </w:tcPr>
          <w:p w:rsidR="003D78D9" w:rsidRPr="003D78D9" w:rsidRDefault="00C6442D" w:rsidP="00D97831">
            <w:pPr>
              <w:rPr>
                <w:rFonts w:cs="Arial"/>
                <w:color w:val="000000"/>
                <w:sz w:val="22"/>
                <w:szCs w:val="22"/>
              </w:rPr>
            </w:pP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Oversight of the Lancashire Pension Fund</w:t>
            </w:r>
          </w:p>
        </w:tc>
        <w:tc>
          <w:tcPr>
            <w:tcW w:w="3969" w:type="dxa"/>
            <w:tcBorders>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Assessment of the governance framework to achieve corporate oversight by the council of the Fund, whose assets are owned by the council.</w:t>
            </w:r>
          </w:p>
        </w:tc>
        <w:tc>
          <w:tcPr>
            <w:tcW w:w="4394" w:type="dxa"/>
            <w:tcBorders>
              <w:bottom w:val="single" w:sz="4" w:space="0" w:color="auto"/>
            </w:tcBorders>
          </w:tcPr>
          <w:p w:rsidR="005F0263" w:rsidRPr="005155A7" w:rsidRDefault="00B51F60" w:rsidP="005F0263">
            <w:pPr>
              <w:rPr>
                <w:rFonts w:cs="Arial"/>
                <w:sz w:val="22"/>
                <w:szCs w:val="22"/>
              </w:rPr>
            </w:pPr>
            <w:r w:rsidRPr="005155A7">
              <w:rPr>
                <w:rFonts w:cs="Arial"/>
                <w:sz w:val="22"/>
                <w:szCs w:val="22"/>
              </w:rPr>
              <w:t>Oversight of the pension fund is well controlled, and we found no significant areas of concern.</w:t>
            </w:r>
          </w:p>
          <w:p w:rsidR="005F0263" w:rsidRPr="005155A7" w:rsidRDefault="00C6442D" w:rsidP="005F0263">
            <w:pPr>
              <w:rPr>
                <w:rFonts w:cs="Arial"/>
                <w:sz w:val="22"/>
                <w:szCs w:val="22"/>
              </w:rPr>
            </w:pPr>
          </w:p>
        </w:tc>
        <w:tc>
          <w:tcPr>
            <w:tcW w:w="1418" w:type="dxa"/>
            <w:tcBorders>
              <w:bottom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Substantial</w:t>
            </w:r>
          </w:p>
        </w:tc>
      </w:tr>
      <w:tr w:rsidR="00950C6E" w:rsidTr="006612D8">
        <w:trPr>
          <w:trHeight w:val="310"/>
        </w:trPr>
        <w:tc>
          <w:tcPr>
            <w:tcW w:w="1843" w:type="dxa"/>
            <w:tcBorders>
              <w:bottom w:val="single" w:sz="4" w:space="0" w:color="auto"/>
            </w:tcBorders>
            <w:shd w:val="clear" w:color="auto" w:fill="auto"/>
            <w:noWrap/>
            <w:hideMark/>
          </w:tcPr>
          <w:p w:rsidR="003D78D9" w:rsidRPr="00A17748" w:rsidRDefault="00B51F60" w:rsidP="00D97831">
            <w:pPr>
              <w:rPr>
                <w:rFonts w:cs="Arial"/>
                <w:sz w:val="22"/>
                <w:szCs w:val="22"/>
              </w:rPr>
            </w:pPr>
            <w:r w:rsidRPr="00A17748">
              <w:rPr>
                <w:rFonts w:cs="Arial"/>
                <w:sz w:val="22"/>
                <w:szCs w:val="22"/>
              </w:rPr>
              <w:t>Performance monitoring</w:t>
            </w:r>
          </w:p>
        </w:tc>
        <w:tc>
          <w:tcPr>
            <w:tcW w:w="2977" w:type="dxa"/>
            <w:tcBorders>
              <w:bottom w:val="single" w:sz="4" w:space="0" w:color="auto"/>
            </w:tcBorders>
          </w:tcPr>
          <w:p w:rsidR="003D78D9" w:rsidRPr="00A17748" w:rsidRDefault="00B51F60" w:rsidP="00E724AD">
            <w:pPr>
              <w:rPr>
                <w:rFonts w:cs="Arial"/>
                <w:sz w:val="22"/>
                <w:szCs w:val="22"/>
              </w:rPr>
            </w:pPr>
            <w:r w:rsidRPr="00A17748">
              <w:rPr>
                <w:rFonts w:cs="Arial"/>
                <w:sz w:val="22"/>
                <w:szCs w:val="22"/>
              </w:rPr>
              <w:t xml:space="preserve">Corporate performance </w:t>
            </w:r>
            <w:r w:rsidRPr="00E724AD">
              <w:rPr>
                <w:rFonts w:cs="Arial"/>
                <w:color w:val="000000"/>
                <w:sz w:val="22"/>
                <w:szCs w:val="22"/>
              </w:rPr>
              <w:t>monitoring</w:t>
            </w:r>
          </w:p>
        </w:tc>
        <w:tc>
          <w:tcPr>
            <w:tcW w:w="3969" w:type="dxa"/>
            <w:tcBorders>
              <w:bottom w:val="single" w:sz="4" w:space="0" w:color="auto"/>
            </w:tcBorders>
            <w:shd w:val="clear" w:color="auto" w:fill="auto"/>
            <w:noWrap/>
            <w:hideMark/>
          </w:tcPr>
          <w:p w:rsidR="003D78D9" w:rsidRPr="00A17748" w:rsidRDefault="00B51F60" w:rsidP="00D97831">
            <w:pPr>
              <w:rPr>
                <w:rFonts w:cs="Arial"/>
                <w:sz w:val="22"/>
                <w:szCs w:val="22"/>
              </w:rPr>
            </w:pPr>
            <w:r w:rsidRPr="00A17748">
              <w:rPr>
                <w:rFonts w:cs="Arial"/>
                <w:sz w:val="22"/>
                <w:szCs w:val="22"/>
              </w:rPr>
              <w:t>Support to management in establishing a revised framework for monitoring and managing achievement of the council's key strategies.</w:t>
            </w:r>
          </w:p>
        </w:tc>
        <w:tc>
          <w:tcPr>
            <w:tcW w:w="4394" w:type="dxa"/>
            <w:tcBorders>
              <w:bottom w:val="single" w:sz="4" w:space="0" w:color="auto"/>
            </w:tcBorders>
          </w:tcPr>
          <w:p w:rsidR="003D78D9" w:rsidRPr="005155A7" w:rsidRDefault="00B51F60" w:rsidP="00A03CE5">
            <w:pPr>
              <w:rPr>
                <w:rFonts w:cs="Arial"/>
                <w:sz w:val="22"/>
                <w:szCs w:val="22"/>
              </w:rPr>
            </w:pPr>
            <w:r w:rsidRPr="005155A7">
              <w:rPr>
                <w:rFonts w:cs="Arial"/>
                <w:sz w:val="22"/>
                <w:szCs w:val="22"/>
              </w:rPr>
              <w:t>A draft corporate strategy dashboard was produced in August 2016 and has been used to establish a suite of performance indicators and targets. These are reported to senior managers, Management Team and the Cabinet Committee on Performance Improvement, but will need to be revisited as the new corporate strategy is approved.</w:t>
            </w:r>
          </w:p>
        </w:tc>
        <w:tc>
          <w:tcPr>
            <w:tcW w:w="1418" w:type="dxa"/>
            <w:tcBorders>
              <w:bottom w:val="single" w:sz="4" w:space="0" w:color="auto"/>
            </w:tcBorders>
          </w:tcPr>
          <w:p w:rsidR="003D78D9" w:rsidRPr="00A03CE5" w:rsidRDefault="00B51F60" w:rsidP="00D97831">
            <w:pPr>
              <w:rPr>
                <w:rFonts w:cs="Arial"/>
                <w:color w:val="4F81BD" w:themeColor="accent1"/>
                <w:sz w:val="22"/>
                <w:szCs w:val="22"/>
              </w:rPr>
            </w:pPr>
            <w:r w:rsidRPr="00A17748">
              <w:rPr>
                <w:rFonts w:cs="Arial"/>
                <w:sz w:val="22"/>
                <w:szCs w:val="22"/>
              </w:rPr>
              <w:t>Substantial</w:t>
            </w:r>
          </w:p>
        </w:tc>
      </w:tr>
      <w:tr w:rsidR="00950C6E" w:rsidTr="006612D8">
        <w:trPr>
          <w:trHeight w:val="315"/>
        </w:trPr>
        <w:tc>
          <w:tcPr>
            <w:tcW w:w="4820" w:type="dxa"/>
            <w:gridSpan w:val="2"/>
            <w:tcBorders>
              <w:top w:val="single" w:sz="4" w:space="0" w:color="auto"/>
              <w:bottom w:val="single" w:sz="4" w:space="0" w:color="auto"/>
              <w:right w:val="nil"/>
            </w:tcBorders>
            <w:shd w:val="clear" w:color="auto" w:fill="F2F2F2" w:themeFill="background1" w:themeFillShade="F2"/>
            <w:noWrap/>
            <w:hideMark/>
          </w:tcPr>
          <w:p w:rsidR="00BB1415" w:rsidRPr="003D78D9" w:rsidRDefault="00B51F60" w:rsidP="00D97831">
            <w:pPr>
              <w:rPr>
                <w:rFonts w:cs="Arial"/>
                <w:b/>
                <w:bCs/>
                <w:color w:val="000000"/>
                <w:sz w:val="22"/>
                <w:szCs w:val="22"/>
              </w:rPr>
            </w:pPr>
            <w:r w:rsidRPr="003D78D9">
              <w:rPr>
                <w:rFonts w:cs="Arial"/>
                <w:b/>
                <w:bCs/>
                <w:color w:val="000000"/>
                <w:sz w:val="22"/>
                <w:szCs w:val="22"/>
              </w:rPr>
              <w:t>Service delivery</w:t>
            </w:r>
          </w:p>
        </w:tc>
        <w:tc>
          <w:tcPr>
            <w:tcW w:w="3969" w:type="dxa"/>
            <w:tcBorders>
              <w:top w:val="single" w:sz="4" w:space="0" w:color="auto"/>
              <w:left w:val="nil"/>
              <w:right w:val="nil"/>
            </w:tcBorders>
            <w:shd w:val="clear" w:color="auto" w:fill="F2F2F2" w:themeFill="background1" w:themeFillShade="F2"/>
            <w:noWrap/>
            <w:hideMark/>
          </w:tcPr>
          <w:p w:rsidR="00BB1415" w:rsidRPr="003D78D9" w:rsidRDefault="00C6442D" w:rsidP="00D97831">
            <w:pPr>
              <w:rPr>
                <w:rFonts w:cs="Arial"/>
                <w:b/>
                <w:bCs/>
                <w:color w:val="000000"/>
                <w:sz w:val="22"/>
                <w:szCs w:val="22"/>
              </w:rPr>
            </w:pPr>
          </w:p>
        </w:tc>
        <w:tc>
          <w:tcPr>
            <w:tcW w:w="4394" w:type="dxa"/>
            <w:tcBorders>
              <w:top w:val="single" w:sz="4" w:space="0" w:color="auto"/>
              <w:left w:val="nil"/>
              <w:right w:val="nil"/>
            </w:tcBorders>
            <w:shd w:val="clear" w:color="auto" w:fill="F2F2F2" w:themeFill="background1" w:themeFillShade="F2"/>
          </w:tcPr>
          <w:p w:rsidR="00BB1415" w:rsidRPr="003D78D9" w:rsidRDefault="00C6442D" w:rsidP="00D97831">
            <w:pPr>
              <w:rPr>
                <w:rFonts w:cs="Arial"/>
                <w:b/>
                <w:bCs/>
                <w:color w:val="000000"/>
                <w:sz w:val="22"/>
                <w:szCs w:val="22"/>
              </w:rPr>
            </w:pPr>
          </w:p>
        </w:tc>
        <w:tc>
          <w:tcPr>
            <w:tcW w:w="1418" w:type="dxa"/>
            <w:tcBorders>
              <w:top w:val="single" w:sz="4" w:space="0" w:color="auto"/>
              <w:left w:val="nil"/>
              <w:right w:val="single" w:sz="4" w:space="0" w:color="auto"/>
            </w:tcBorders>
            <w:shd w:val="clear" w:color="auto" w:fill="F2F2F2" w:themeFill="background1" w:themeFillShade="F2"/>
          </w:tcPr>
          <w:p w:rsidR="00BB1415" w:rsidRPr="003D78D9" w:rsidRDefault="00C6442D" w:rsidP="00D97831">
            <w:pPr>
              <w:rPr>
                <w:rFonts w:cs="Arial"/>
                <w:b/>
                <w:bCs/>
                <w:color w:val="000000"/>
                <w:sz w:val="22"/>
                <w:szCs w:val="22"/>
              </w:rPr>
            </w:pPr>
          </w:p>
        </w:tc>
      </w:tr>
      <w:tr w:rsidR="00950C6E" w:rsidTr="002056D2">
        <w:trPr>
          <w:trHeight w:val="300"/>
        </w:trPr>
        <w:tc>
          <w:tcPr>
            <w:tcW w:w="1843" w:type="dxa"/>
            <w:tcBorders>
              <w:bottom w:val="single" w:sz="4" w:space="0" w:color="auto"/>
            </w:tcBorders>
            <w:shd w:val="clear" w:color="auto" w:fill="auto"/>
            <w:noWrap/>
            <w:hideMark/>
          </w:tcPr>
          <w:p w:rsidR="003D78D9" w:rsidRPr="003D78D9" w:rsidRDefault="00B51F60" w:rsidP="00D97831">
            <w:pPr>
              <w:rPr>
                <w:rFonts w:cs="Arial"/>
                <w:color w:val="000000"/>
                <w:sz w:val="22"/>
                <w:szCs w:val="22"/>
              </w:rPr>
            </w:pPr>
            <w:r w:rsidRPr="003D78D9">
              <w:rPr>
                <w:rFonts w:cs="Arial"/>
                <w:color w:val="000000"/>
                <w:sz w:val="22"/>
                <w:szCs w:val="22"/>
              </w:rPr>
              <w:t>Children's services</w:t>
            </w: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Escalation of matters of strategic or political importance through to the Operations and Delivery management team and beyond if appropriate</w:t>
            </w:r>
          </w:p>
        </w:tc>
        <w:tc>
          <w:tcPr>
            <w:tcW w:w="3969" w:type="dxa"/>
            <w:tcBorders>
              <w:bottom w:val="single" w:sz="4" w:space="0" w:color="auto"/>
            </w:tcBorders>
            <w:shd w:val="clear" w:color="auto" w:fill="auto"/>
            <w:noWrap/>
          </w:tcPr>
          <w:p w:rsidR="003D78D9" w:rsidRPr="006F2F4E" w:rsidRDefault="00B51F60" w:rsidP="00A17748">
            <w:pPr>
              <w:rPr>
                <w:rFonts w:cs="Arial"/>
                <w:sz w:val="22"/>
                <w:szCs w:val="22"/>
              </w:rPr>
            </w:pPr>
            <w:r w:rsidRPr="006F2F4E">
              <w:rPr>
                <w:rFonts w:cs="Arial"/>
                <w:sz w:val="22"/>
                <w:szCs w:val="22"/>
              </w:rPr>
              <w:t>Compliance testing of the escalation as appropriate of issues arising within individual caseloads or social care teams. This work could be replicated in other service areas but will be piloted here first.</w:t>
            </w:r>
          </w:p>
        </w:tc>
        <w:tc>
          <w:tcPr>
            <w:tcW w:w="4394" w:type="dxa"/>
            <w:tcBorders>
              <w:bottom w:val="single" w:sz="4" w:space="0" w:color="auto"/>
            </w:tcBorders>
          </w:tcPr>
          <w:p w:rsidR="003D78D9" w:rsidRPr="006F2F4E" w:rsidRDefault="00B51F60" w:rsidP="006F2F4E">
            <w:pPr>
              <w:rPr>
                <w:rFonts w:cs="Arial"/>
                <w:sz w:val="22"/>
                <w:szCs w:val="22"/>
              </w:rPr>
            </w:pPr>
            <w:r w:rsidRPr="006F2F4E">
              <w:rPr>
                <w:rFonts w:cs="Arial"/>
                <w:sz w:val="22"/>
                <w:szCs w:val="22"/>
              </w:rPr>
              <w:t>The risk and control framework developed has been discussed with the Operations and Delivery management team</w:t>
            </w:r>
            <w:r>
              <w:rPr>
                <w:rFonts w:cs="Arial"/>
                <w:sz w:val="22"/>
                <w:szCs w:val="22"/>
              </w:rPr>
              <w:t xml:space="preserve"> and t</w:t>
            </w:r>
            <w:r w:rsidRPr="006F2F4E">
              <w:rPr>
                <w:rFonts w:cs="Arial"/>
                <w:sz w:val="22"/>
                <w:szCs w:val="22"/>
              </w:rPr>
              <w:t xml:space="preserve">his work will be </w:t>
            </w:r>
            <w:r>
              <w:rPr>
                <w:rFonts w:cs="Arial"/>
                <w:sz w:val="22"/>
                <w:szCs w:val="22"/>
              </w:rPr>
              <w:t xml:space="preserve">developed further </w:t>
            </w:r>
            <w:r w:rsidRPr="006F2F4E">
              <w:rPr>
                <w:rFonts w:cs="Arial"/>
                <w:sz w:val="22"/>
                <w:szCs w:val="22"/>
              </w:rPr>
              <w:t xml:space="preserve">in </w:t>
            </w:r>
            <w:r>
              <w:rPr>
                <w:rFonts w:cs="Arial"/>
                <w:sz w:val="22"/>
                <w:szCs w:val="22"/>
              </w:rPr>
              <w:t xml:space="preserve">2017/18, in particular </w:t>
            </w:r>
            <w:r w:rsidRPr="006F2F4E">
              <w:rPr>
                <w:rFonts w:cs="Arial"/>
                <w:sz w:val="22"/>
                <w:szCs w:val="22"/>
              </w:rPr>
              <w:t xml:space="preserve">addressing communication with staff across Operational and Delivery Services. </w:t>
            </w:r>
          </w:p>
        </w:tc>
        <w:tc>
          <w:tcPr>
            <w:tcW w:w="1418" w:type="dxa"/>
            <w:tcBorders>
              <w:bottom w:val="single" w:sz="4" w:space="0" w:color="auto"/>
            </w:tcBorders>
          </w:tcPr>
          <w:p w:rsidR="003D78D9" w:rsidRPr="003D78D9" w:rsidRDefault="00B51F60" w:rsidP="00D97831">
            <w:pPr>
              <w:rPr>
                <w:rFonts w:cs="Arial"/>
                <w:color w:val="000000"/>
                <w:sz w:val="22"/>
                <w:szCs w:val="22"/>
              </w:rPr>
            </w:pPr>
            <w:r>
              <w:rPr>
                <w:rFonts w:cs="Arial"/>
                <w:color w:val="000000"/>
                <w:sz w:val="22"/>
                <w:szCs w:val="22"/>
              </w:rPr>
              <w:t>Not applicable</w:t>
            </w:r>
          </w:p>
        </w:tc>
      </w:tr>
      <w:tr w:rsidR="00950C6E" w:rsidTr="002056D2">
        <w:trPr>
          <w:trHeight w:val="300"/>
        </w:trPr>
        <w:tc>
          <w:tcPr>
            <w:tcW w:w="1843" w:type="dxa"/>
            <w:tcBorders>
              <w:top w:val="single" w:sz="4" w:space="0" w:color="auto"/>
              <w:left w:val="nil"/>
              <w:bottom w:val="nil"/>
              <w:right w:val="nil"/>
            </w:tcBorders>
            <w:shd w:val="clear" w:color="auto" w:fill="auto"/>
            <w:noWrap/>
          </w:tcPr>
          <w:p w:rsidR="002056D2" w:rsidRDefault="00C6442D" w:rsidP="00D97831">
            <w:pPr>
              <w:rPr>
                <w:rFonts w:cs="Arial"/>
                <w:color w:val="4F81BD" w:themeColor="accent1"/>
                <w:sz w:val="22"/>
                <w:szCs w:val="22"/>
              </w:rPr>
            </w:pPr>
          </w:p>
          <w:p w:rsidR="002056D2" w:rsidRPr="0065339F" w:rsidRDefault="00C6442D" w:rsidP="00D97831">
            <w:pPr>
              <w:rPr>
                <w:rFonts w:cs="Arial"/>
                <w:color w:val="4F81BD" w:themeColor="accent1"/>
                <w:sz w:val="22"/>
                <w:szCs w:val="22"/>
              </w:rPr>
            </w:pPr>
          </w:p>
        </w:tc>
        <w:tc>
          <w:tcPr>
            <w:tcW w:w="2977" w:type="dxa"/>
            <w:tcBorders>
              <w:top w:val="single" w:sz="4" w:space="0" w:color="auto"/>
              <w:left w:val="nil"/>
              <w:bottom w:val="nil"/>
              <w:right w:val="nil"/>
            </w:tcBorders>
          </w:tcPr>
          <w:p w:rsidR="002056D2" w:rsidRPr="00E724AD" w:rsidRDefault="00C6442D" w:rsidP="00E724AD">
            <w:pPr>
              <w:rPr>
                <w:rFonts w:cs="Arial"/>
                <w:color w:val="000000"/>
                <w:sz w:val="22"/>
                <w:szCs w:val="22"/>
              </w:rPr>
            </w:pPr>
          </w:p>
        </w:tc>
        <w:tc>
          <w:tcPr>
            <w:tcW w:w="3969" w:type="dxa"/>
            <w:tcBorders>
              <w:top w:val="single" w:sz="4" w:space="0" w:color="auto"/>
              <w:left w:val="nil"/>
              <w:bottom w:val="nil"/>
              <w:right w:val="nil"/>
            </w:tcBorders>
            <w:shd w:val="clear" w:color="auto" w:fill="auto"/>
            <w:noWrap/>
          </w:tcPr>
          <w:p w:rsidR="002056D2" w:rsidRPr="002056D2" w:rsidRDefault="00C6442D" w:rsidP="00D97831">
            <w:pPr>
              <w:rPr>
                <w:rFonts w:cs="Arial"/>
                <w:sz w:val="22"/>
                <w:szCs w:val="22"/>
              </w:rPr>
            </w:pPr>
          </w:p>
        </w:tc>
        <w:tc>
          <w:tcPr>
            <w:tcW w:w="4394" w:type="dxa"/>
            <w:tcBorders>
              <w:top w:val="single" w:sz="4" w:space="0" w:color="auto"/>
              <w:left w:val="nil"/>
              <w:bottom w:val="nil"/>
              <w:right w:val="nil"/>
            </w:tcBorders>
          </w:tcPr>
          <w:p w:rsidR="002056D2" w:rsidRPr="0065339F" w:rsidRDefault="00C6442D" w:rsidP="002056D2">
            <w:pPr>
              <w:rPr>
                <w:rFonts w:cs="Arial"/>
                <w:color w:val="4F81BD" w:themeColor="accent1"/>
                <w:sz w:val="22"/>
                <w:szCs w:val="22"/>
              </w:rPr>
            </w:pPr>
          </w:p>
        </w:tc>
        <w:tc>
          <w:tcPr>
            <w:tcW w:w="1418" w:type="dxa"/>
            <w:tcBorders>
              <w:top w:val="single" w:sz="4" w:space="0" w:color="auto"/>
              <w:left w:val="nil"/>
              <w:bottom w:val="nil"/>
              <w:right w:val="nil"/>
            </w:tcBorders>
          </w:tcPr>
          <w:p w:rsidR="002056D2" w:rsidRPr="0065339F" w:rsidRDefault="00C6442D" w:rsidP="00D97831">
            <w:pPr>
              <w:rPr>
                <w:rFonts w:cs="Arial"/>
                <w:color w:val="4F81BD" w:themeColor="accent1"/>
                <w:sz w:val="22"/>
                <w:szCs w:val="22"/>
              </w:rPr>
            </w:pPr>
          </w:p>
        </w:tc>
      </w:tr>
      <w:tr w:rsidR="00950C6E" w:rsidTr="002056D2">
        <w:trPr>
          <w:trHeight w:val="300"/>
        </w:trPr>
        <w:tc>
          <w:tcPr>
            <w:tcW w:w="1843" w:type="dxa"/>
            <w:tcBorders>
              <w:top w:val="nil"/>
              <w:bottom w:val="nil"/>
            </w:tcBorders>
            <w:shd w:val="clear" w:color="auto" w:fill="auto"/>
            <w:noWrap/>
          </w:tcPr>
          <w:p w:rsidR="003D78D9" w:rsidRPr="0065339F" w:rsidRDefault="00B51F60" w:rsidP="00D97831">
            <w:pPr>
              <w:rPr>
                <w:rFonts w:cs="Arial"/>
                <w:color w:val="4F81BD" w:themeColor="accent1"/>
                <w:sz w:val="22"/>
                <w:szCs w:val="22"/>
              </w:rPr>
            </w:pPr>
            <w:r w:rsidRPr="003D78D9">
              <w:rPr>
                <w:rFonts w:cs="Arial"/>
                <w:color w:val="000000"/>
                <w:sz w:val="22"/>
                <w:szCs w:val="22"/>
              </w:rPr>
              <w:lastRenderedPageBreak/>
              <w:t>Children's services</w:t>
            </w:r>
          </w:p>
        </w:tc>
        <w:tc>
          <w:tcPr>
            <w:tcW w:w="2977" w:type="dxa"/>
            <w:tcBorders>
              <w:top w:val="nil"/>
            </w:tcBorders>
          </w:tcPr>
          <w:p w:rsidR="003D78D9" w:rsidRPr="0065339F" w:rsidRDefault="00B51F60" w:rsidP="00E724AD">
            <w:pPr>
              <w:rPr>
                <w:rFonts w:cs="Arial"/>
                <w:color w:val="4F81BD" w:themeColor="accent1"/>
                <w:sz w:val="22"/>
                <w:szCs w:val="22"/>
              </w:rPr>
            </w:pPr>
            <w:r w:rsidRPr="00E724AD">
              <w:rPr>
                <w:rFonts w:cs="Arial"/>
                <w:color w:val="000000"/>
                <w:sz w:val="22"/>
                <w:szCs w:val="22"/>
              </w:rPr>
              <w:t>Identification of, and responses to, external feedback on children's services and schools</w:t>
            </w:r>
          </w:p>
        </w:tc>
        <w:tc>
          <w:tcPr>
            <w:tcW w:w="3969" w:type="dxa"/>
            <w:tcBorders>
              <w:top w:val="nil"/>
            </w:tcBorders>
            <w:shd w:val="clear" w:color="auto" w:fill="auto"/>
            <w:noWrap/>
          </w:tcPr>
          <w:p w:rsidR="003D78D9" w:rsidRPr="002056D2" w:rsidRDefault="00B51F60" w:rsidP="00D97831">
            <w:pPr>
              <w:rPr>
                <w:rFonts w:cs="Arial"/>
                <w:sz w:val="22"/>
                <w:szCs w:val="22"/>
              </w:rPr>
            </w:pPr>
            <w:r w:rsidRPr="002056D2">
              <w:rPr>
                <w:rFonts w:cs="Arial"/>
                <w:sz w:val="22"/>
                <w:szCs w:val="22"/>
              </w:rPr>
              <w:t>Assessment of the potential sources of feedback and operational services' responses to these including escalation of the information to senior management.</w:t>
            </w:r>
          </w:p>
        </w:tc>
        <w:tc>
          <w:tcPr>
            <w:tcW w:w="4394" w:type="dxa"/>
            <w:tcBorders>
              <w:top w:val="nil"/>
            </w:tcBorders>
          </w:tcPr>
          <w:p w:rsidR="003D78D9" w:rsidRPr="00AF1E6B" w:rsidRDefault="00B51F60" w:rsidP="002056D2">
            <w:pPr>
              <w:rPr>
                <w:rFonts w:cs="Arial"/>
                <w:sz w:val="22"/>
                <w:szCs w:val="22"/>
              </w:rPr>
            </w:pPr>
            <w:r w:rsidRPr="00AF1E6B">
              <w:rPr>
                <w:rFonts w:cs="Arial"/>
                <w:sz w:val="22"/>
                <w:szCs w:val="22"/>
              </w:rPr>
              <w:t>This audit focussed on two separate control frameworks relating to the county's schools and children with special educational needs or disabilities, and the processes in both cases are effective.</w:t>
            </w:r>
          </w:p>
        </w:tc>
        <w:tc>
          <w:tcPr>
            <w:tcW w:w="1418" w:type="dxa"/>
            <w:tcBorders>
              <w:top w:val="nil"/>
            </w:tcBorders>
          </w:tcPr>
          <w:p w:rsidR="003D78D9" w:rsidRPr="00AF1E6B" w:rsidRDefault="00B51F60" w:rsidP="00D97831">
            <w:pPr>
              <w:rPr>
                <w:rFonts w:cs="Arial"/>
                <w:sz w:val="22"/>
                <w:szCs w:val="22"/>
              </w:rPr>
            </w:pPr>
            <w:r w:rsidRPr="00AF1E6B">
              <w:rPr>
                <w:rFonts w:cs="Arial"/>
                <w:sz w:val="22"/>
                <w:szCs w:val="22"/>
              </w:rPr>
              <w:t>Substantial</w:t>
            </w:r>
          </w:p>
        </w:tc>
      </w:tr>
      <w:tr w:rsidR="00950C6E" w:rsidTr="006612D8">
        <w:trPr>
          <w:trHeight w:val="300"/>
        </w:trPr>
        <w:tc>
          <w:tcPr>
            <w:tcW w:w="1843" w:type="dxa"/>
            <w:tcBorders>
              <w:top w:val="nil"/>
              <w:bottom w:val="nil"/>
            </w:tcBorders>
            <w:shd w:val="clear" w:color="auto" w:fill="auto"/>
            <w:noWrap/>
          </w:tcPr>
          <w:p w:rsidR="003D78D9" w:rsidRPr="003D78D9" w:rsidRDefault="00C6442D" w:rsidP="00D97831">
            <w:pPr>
              <w:rPr>
                <w:rFonts w:cs="Arial"/>
                <w:color w:val="000000"/>
                <w:sz w:val="22"/>
                <w:szCs w:val="22"/>
              </w:rPr>
            </w:pPr>
          </w:p>
        </w:tc>
        <w:tc>
          <w:tcPr>
            <w:tcW w:w="2977" w:type="dxa"/>
          </w:tcPr>
          <w:p w:rsidR="003D78D9" w:rsidRPr="003D78D9" w:rsidRDefault="00B51F60" w:rsidP="00E724AD">
            <w:pPr>
              <w:rPr>
                <w:rFonts w:cs="Arial"/>
                <w:color w:val="000000"/>
                <w:sz w:val="22"/>
                <w:szCs w:val="22"/>
              </w:rPr>
            </w:pPr>
            <w:r w:rsidRPr="003D78D9">
              <w:rPr>
                <w:rFonts w:cs="Arial"/>
                <w:color w:val="000000"/>
                <w:sz w:val="22"/>
                <w:szCs w:val="22"/>
              </w:rPr>
              <w:t>Oversight of schools' financial management</w:t>
            </w:r>
          </w:p>
        </w:tc>
        <w:tc>
          <w:tcPr>
            <w:tcW w:w="3969" w:type="dxa"/>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of the arrangements to oversee schools' financial management.</w:t>
            </w:r>
          </w:p>
        </w:tc>
        <w:tc>
          <w:tcPr>
            <w:tcW w:w="4394" w:type="dxa"/>
          </w:tcPr>
          <w:p w:rsidR="00D22137" w:rsidRPr="000F010C" w:rsidRDefault="00B51F60" w:rsidP="002056D2">
            <w:pPr>
              <w:rPr>
                <w:rFonts w:cs="Arial"/>
                <w:sz w:val="22"/>
                <w:szCs w:val="22"/>
              </w:rPr>
            </w:pPr>
            <w:r w:rsidRPr="000F010C">
              <w:rPr>
                <w:rFonts w:cs="Arial"/>
                <w:sz w:val="22"/>
                <w:szCs w:val="22"/>
              </w:rPr>
              <w:t>There is a clear audit trail of funding from the Education Funding Agency through to its distribution to schools. The Schools Forum is properly established and operated, and its remit regularly reviewed, and the School Improvement Challenge Board manages all funding decisions to support schools in financial difficulty in accordance with the policy agreed by Schools Forum.</w:t>
            </w:r>
          </w:p>
          <w:p w:rsidR="00A124C7" w:rsidRPr="00A124C7" w:rsidRDefault="00B51F60" w:rsidP="000F010C">
            <w:pPr>
              <w:rPr>
                <w:rFonts w:cs="Arial"/>
              </w:rPr>
            </w:pPr>
            <w:r w:rsidRPr="000F010C">
              <w:rPr>
                <w:rFonts w:cs="Arial"/>
                <w:sz w:val="22"/>
                <w:szCs w:val="22"/>
              </w:rPr>
              <w:t>However whilst checks are made to ensure that all schools return their Schools Financial Value Standard returns, no checks are made that the returns accord with expectations and that action plans are in place to address any deficiencies.</w:t>
            </w:r>
          </w:p>
        </w:tc>
        <w:tc>
          <w:tcPr>
            <w:tcW w:w="1418" w:type="dxa"/>
          </w:tcPr>
          <w:p w:rsidR="003D78D9" w:rsidRPr="003D78D9" w:rsidRDefault="00B51F60" w:rsidP="00D97831">
            <w:pPr>
              <w:rPr>
                <w:rFonts w:cs="Arial"/>
                <w:color w:val="000000"/>
                <w:sz w:val="22"/>
                <w:szCs w:val="22"/>
              </w:rPr>
            </w:pPr>
            <w:r>
              <w:rPr>
                <w:rFonts w:cs="Arial"/>
                <w:color w:val="000000"/>
                <w:sz w:val="22"/>
                <w:szCs w:val="22"/>
              </w:rPr>
              <w:t>Substantial</w:t>
            </w:r>
          </w:p>
        </w:tc>
      </w:tr>
      <w:tr w:rsidR="00950C6E" w:rsidTr="000F010C">
        <w:trPr>
          <w:trHeight w:val="300"/>
        </w:trPr>
        <w:tc>
          <w:tcPr>
            <w:tcW w:w="1843" w:type="dxa"/>
            <w:tcBorders>
              <w:top w:val="nil"/>
              <w:bottom w:val="single" w:sz="4" w:space="0" w:color="auto"/>
            </w:tcBorders>
            <w:shd w:val="clear" w:color="auto" w:fill="auto"/>
            <w:noWrap/>
          </w:tcPr>
          <w:p w:rsidR="003D78D9" w:rsidRPr="003D78D9" w:rsidRDefault="00C6442D" w:rsidP="00D97831">
            <w:pPr>
              <w:rPr>
                <w:rFonts w:cs="Arial"/>
                <w:color w:val="000000"/>
                <w:sz w:val="22"/>
                <w:szCs w:val="22"/>
              </w:rPr>
            </w:pP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Certification of claims made under the Working Together with Families Programme</w:t>
            </w:r>
          </w:p>
        </w:tc>
        <w:tc>
          <w:tcPr>
            <w:tcW w:w="3969" w:type="dxa"/>
            <w:tcBorders>
              <w:bottom w:val="single" w:sz="4" w:space="0" w:color="auto"/>
            </w:tcBorders>
            <w:shd w:val="clear" w:color="auto" w:fill="auto"/>
            <w:noWrap/>
          </w:tcPr>
          <w:p w:rsidR="003D78D9" w:rsidRPr="003D068D" w:rsidRDefault="00B51F60" w:rsidP="00D97831">
            <w:pPr>
              <w:rPr>
                <w:rFonts w:cs="Arial"/>
                <w:sz w:val="22"/>
                <w:szCs w:val="22"/>
              </w:rPr>
            </w:pPr>
            <w:r w:rsidRPr="003D068D">
              <w:rPr>
                <w:rFonts w:cs="Arial"/>
                <w:sz w:val="22"/>
                <w:szCs w:val="22"/>
              </w:rPr>
              <w:t>Testing to certify that central government's grant funding requirements have been met. We are required to test 10% of the claims submitted.</w:t>
            </w:r>
          </w:p>
        </w:tc>
        <w:tc>
          <w:tcPr>
            <w:tcW w:w="4394" w:type="dxa"/>
            <w:tcBorders>
              <w:bottom w:val="single" w:sz="4" w:space="0" w:color="auto"/>
            </w:tcBorders>
          </w:tcPr>
          <w:p w:rsidR="003D78D9" w:rsidRPr="003D068D" w:rsidRDefault="00B51F60" w:rsidP="003D068D">
            <w:pPr>
              <w:rPr>
                <w:rFonts w:cs="Arial"/>
                <w:sz w:val="22"/>
                <w:szCs w:val="22"/>
              </w:rPr>
            </w:pPr>
            <w:r w:rsidRPr="003D068D">
              <w:rPr>
                <w:rFonts w:cs="Arial"/>
                <w:sz w:val="22"/>
                <w:szCs w:val="22"/>
              </w:rPr>
              <w:t>Claims were submitted in January, February and March 2017 amounting to a total of 338 cases. We have undertaken testing of 48 cases to confirm that the claims were made in accordance with the funding requirements.</w:t>
            </w:r>
          </w:p>
        </w:tc>
        <w:tc>
          <w:tcPr>
            <w:tcW w:w="1418" w:type="dxa"/>
            <w:tcBorders>
              <w:bottom w:val="single" w:sz="4" w:space="0" w:color="auto"/>
            </w:tcBorders>
          </w:tcPr>
          <w:p w:rsidR="003D78D9" w:rsidRPr="003D068D" w:rsidRDefault="00B51F60" w:rsidP="00D97831">
            <w:pPr>
              <w:rPr>
                <w:rFonts w:cs="Arial"/>
                <w:sz w:val="22"/>
                <w:szCs w:val="22"/>
              </w:rPr>
            </w:pPr>
            <w:r w:rsidRPr="003D068D">
              <w:rPr>
                <w:rFonts w:cs="Arial"/>
                <w:sz w:val="22"/>
                <w:szCs w:val="22"/>
              </w:rPr>
              <w:t>Not applicable</w:t>
            </w:r>
          </w:p>
        </w:tc>
      </w:tr>
      <w:tr w:rsidR="00950C6E" w:rsidTr="000F010C">
        <w:trPr>
          <w:trHeight w:val="300"/>
        </w:trPr>
        <w:tc>
          <w:tcPr>
            <w:tcW w:w="1843" w:type="dxa"/>
            <w:tcBorders>
              <w:top w:val="single" w:sz="4" w:space="0" w:color="auto"/>
              <w:left w:val="nil"/>
              <w:bottom w:val="nil"/>
              <w:right w:val="nil"/>
            </w:tcBorders>
            <w:shd w:val="clear" w:color="auto" w:fill="auto"/>
            <w:noWrap/>
          </w:tcPr>
          <w:p w:rsidR="000F010C" w:rsidRDefault="00C6442D" w:rsidP="00D97831">
            <w:pPr>
              <w:rPr>
                <w:rFonts w:cs="Arial"/>
                <w:color w:val="000000"/>
                <w:sz w:val="22"/>
                <w:szCs w:val="22"/>
              </w:rPr>
            </w:pPr>
          </w:p>
          <w:p w:rsidR="000F010C" w:rsidRDefault="00C6442D" w:rsidP="00D97831">
            <w:pPr>
              <w:rPr>
                <w:rFonts w:cs="Arial"/>
                <w:color w:val="000000"/>
                <w:sz w:val="22"/>
                <w:szCs w:val="22"/>
              </w:rPr>
            </w:pPr>
          </w:p>
          <w:p w:rsidR="000F010C" w:rsidRPr="003D78D9" w:rsidRDefault="00C6442D" w:rsidP="00D97831">
            <w:pPr>
              <w:rPr>
                <w:rFonts w:cs="Arial"/>
                <w:color w:val="000000"/>
                <w:sz w:val="22"/>
                <w:szCs w:val="22"/>
              </w:rPr>
            </w:pPr>
          </w:p>
        </w:tc>
        <w:tc>
          <w:tcPr>
            <w:tcW w:w="2977" w:type="dxa"/>
            <w:tcBorders>
              <w:top w:val="single" w:sz="4" w:space="0" w:color="auto"/>
              <w:left w:val="nil"/>
              <w:bottom w:val="nil"/>
              <w:right w:val="nil"/>
            </w:tcBorders>
          </w:tcPr>
          <w:p w:rsidR="000F010C" w:rsidRPr="003D78D9" w:rsidRDefault="00C6442D" w:rsidP="00E724AD">
            <w:pPr>
              <w:rPr>
                <w:rFonts w:cs="Arial"/>
                <w:color w:val="000000"/>
                <w:sz w:val="22"/>
                <w:szCs w:val="22"/>
              </w:rPr>
            </w:pPr>
          </w:p>
        </w:tc>
        <w:tc>
          <w:tcPr>
            <w:tcW w:w="3969" w:type="dxa"/>
            <w:tcBorders>
              <w:top w:val="single" w:sz="4" w:space="0" w:color="auto"/>
              <w:left w:val="nil"/>
              <w:bottom w:val="nil"/>
              <w:right w:val="nil"/>
            </w:tcBorders>
            <w:shd w:val="clear" w:color="auto" w:fill="auto"/>
            <w:noWrap/>
          </w:tcPr>
          <w:p w:rsidR="000F010C" w:rsidRPr="003D78D9" w:rsidRDefault="00C6442D" w:rsidP="00D97831">
            <w:pPr>
              <w:rPr>
                <w:rFonts w:cs="Arial"/>
                <w:color w:val="000000"/>
                <w:sz w:val="22"/>
                <w:szCs w:val="22"/>
              </w:rPr>
            </w:pPr>
          </w:p>
        </w:tc>
        <w:tc>
          <w:tcPr>
            <w:tcW w:w="4394" w:type="dxa"/>
            <w:tcBorders>
              <w:top w:val="single" w:sz="4" w:space="0" w:color="auto"/>
              <w:left w:val="nil"/>
              <w:bottom w:val="nil"/>
              <w:right w:val="nil"/>
            </w:tcBorders>
          </w:tcPr>
          <w:p w:rsidR="000F010C" w:rsidRPr="00B76139" w:rsidRDefault="00C6442D" w:rsidP="00792EC0">
            <w:pPr>
              <w:rPr>
                <w:rFonts w:cs="Arial"/>
                <w:color w:val="4F81BD" w:themeColor="accent1"/>
                <w:sz w:val="22"/>
                <w:szCs w:val="22"/>
              </w:rPr>
            </w:pPr>
          </w:p>
        </w:tc>
        <w:tc>
          <w:tcPr>
            <w:tcW w:w="1418" w:type="dxa"/>
            <w:tcBorders>
              <w:top w:val="single" w:sz="4" w:space="0" w:color="auto"/>
              <w:left w:val="nil"/>
              <w:bottom w:val="nil"/>
              <w:right w:val="nil"/>
            </w:tcBorders>
          </w:tcPr>
          <w:p w:rsidR="000F010C" w:rsidRPr="003D78D9" w:rsidRDefault="00C6442D" w:rsidP="00D97831">
            <w:pPr>
              <w:rPr>
                <w:rFonts w:cs="Arial"/>
                <w:color w:val="000000"/>
                <w:sz w:val="22"/>
                <w:szCs w:val="22"/>
              </w:rPr>
            </w:pPr>
          </w:p>
        </w:tc>
      </w:tr>
      <w:tr w:rsidR="00950C6E" w:rsidTr="000F010C">
        <w:trPr>
          <w:trHeight w:val="300"/>
        </w:trPr>
        <w:tc>
          <w:tcPr>
            <w:tcW w:w="1843" w:type="dxa"/>
            <w:tcBorders>
              <w:top w:val="nil"/>
              <w:left w:val="single" w:sz="4" w:space="0" w:color="auto"/>
              <w:bottom w:val="nil"/>
              <w:right w:val="single" w:sz="4" w:space="0" w:color="auto"/>
            </w:tcBorders>
            <w:shd w:val="clear" w:color="auto" w:fill="auto"/>
            <w:noWrap/>
          </w:tcPr>
          <w:p w:rsidR="00B76139" w:rsidRPr="00B76139" w:rsidRDefault="00B51F60" w:rsidP="00EA2823">
            <w:pPr>
              <w:rPr>
                <w:rFonts w:cs="Arial"/>
                <w:color w:val="000000"/>
                <w:sz w:val="22"/>
                <w:szCs w:val="22"/>
              </w:rPr>
            </w:pPr>
            <w:r w:rsidRPr="003D78D9">
              <w:rPr>
                <w:rFonts w:cs="Arial"/>
                <w:color w:val="000000"/>
                <w:sz w:val="22"/>
                <w:szCs w:val="22"/>
              </w:rPr>
              <w:lastRenderedPageBreak/>
              <w:t>Adults' services</w:t>
            </w:r>
          </w:p>
        </w:tc>
        <w:tc>
          <w:tcPr>
            <w:tcW w:w="2977" w:type="dxa"/>
            <w:tcBorders>
              <w:top w:val="nil"/>
              <w:left w:val="single" w:sz="4" w:space="0" w:color="auto"/>
              <w:bottom w:val="single" w:sz="4" w:space="0" w:color="auto"/>
              <w:right w:val="single" w:sz="4" w:space="0" w:color="auto"/>
            </w:tcBorders>
          </w:tcPr>
          <w:p w:rsidR="00B76139" w:rsidRPr="00B76139" w:rsidRDefault="00B51F60" w:rsidP="00EA2823">
            <w:pPr>
              <w:rPr>
                <w:rFonts w:cs="Arial"/>
                <w:color w:val="000000"/>
                <w:sz w:val="22"/>
                <w:szCs w:val="22"/>
              </w:rPr>
            </w:pPr>
            <w:r w:rsidRPr="00B76139">
              <w:rPr>
                <w:rFonts w:cs="Arial"/>
                <w:color w:val="000000"/>
                <w:sz w:val="22"/>
                <w:szCs w:val="22"/>
              </w:rPr>
              <w:t xml:space="preserve">Data held on LAS (Lancashire Adult Services system </w:t>
            </w:r>
            <w:r w:rsidRPr="00E724AD">
              <w:rPr>
                <w:rFonts w:cs="Arial"/>
                <w:color w:val="000000"/>
                <w:sz w:val="22"/>
                <w:szCs w:val="22"/>
              </w:rPr>
              <w:t>provided</w:t>
            </w:r>
            <w:r w:rsidRPr="00B76139">
              <w:rPr>
                <w:rFonts w:cs="Arial"/>
                <w:color w:val="000000"/>
                <w:sz w:val="22"/>
                <w:szCs w:val="22"/>
              </w:rPr>
              <w:t xml:space="preserve"> by </w:t>
            </w:r>
            <w:proofErr w:type="spellStart"/>
            <w:r w:rsidRPr="00102BCD">
              <w:rPr>
                <w:rFonts w:cs="Arial"/>
                <w:color w:val="000000"/>
                <w:sz w:val="22"/>
                <w:szCs w:val="22"/>
              </w:rPr>
              <w:t>Liquidlogic</w:t>
            </w:r>
            <w:proofErr w:type="spellEnd"/>
            <w:r w:rsidRPr="00B76139">
              <w:rPr>
                <w:rFonts w:cs="Arial"/>
                <w:color w:val="000000"/>
                <w:sz w:val="22"/>
                <w:szCs w:val="22"/>
              </w:rPr>
              <w:t>)</w:t>
            </w:r>
            <w:r>
              <w:rPr>
                <w:rFonts w:cs="Arial"/>
                <w:color w:val="000000"/>
                <w:sz w:val="22"/>
                <w:szCs w:val="22"/>
              </w:rPr>
              <w:t xml:space="preserve"> – access, training, and support</w:t>
            </w:r>
          </w:p>
        </w:tc>
        <w:tc>
          <w:tcPr>
            <w:tcW w:w="3969" w:type="dxa"/>
            <w:tcBorders>
              <w:top w:val="nil"/>
              <w:left w:val="single" w:sz="4" w:space="0" w:color="auto"/>
              <w:bottom w:val="single" w:sz="4" w:space="0" w:color="auto"/>
              <w:right w:val="single" w:sz="4" w:space="0" w:color="auto"/>
            </w:tcBorders>
            <w:shd w:val="clear" w:color="auto" w:fill="auto"/>
            <w:noWrap/>
          </w:tcPr>
          <w:p w:rsidR="00482F0C" w:rsidRPr="00482F0C" w:rsidRDefault="00B51F60" w:rsidP="00482F0C">
            <w:pPr>
              <w:pStyle w:val="Default"/>
              <w:spacing w:before="120" w:after="120"/>
              <w:rPr>
                <w:color w:val="auto"/>
                <w:sz w:val="22"/>
                <w:szCs w:val="22"/>
              </w:rPr>
            </w:pPr>
            <w:r>
              <w:rPr>
                <w:color w:val="auto"/>
                <w:sz w:val="22"/>
                <w:szCs w:val="22"/>
              </w:rPr>
              <w:t>Assessment of</w:t>
            </w:r>
            <w:r w:rsidRPr="000D295C">
              <w:rPr>
                <w:color w:val="auto"/>
                <w:sz w:val="22"/>
                <w:szCs w:val="22"/>
              </w:rPr>
              <w:t xml:space="preserve"> </w:t>
            </w:r>
            <w:r>
              <w:rPr>
                <w:color w:val="auto"/>
                <w:sz w:val="22"/>
                <w:szCs w:val="22"/>
              </w:rPr>
              <w:t>staff training, error correction mechanisms and system access controls.</w:t>
            </w:r>
          </w:p>
        </w:tc>
        <w:tc>
          <w:tcPr>
            <w:tcW w:w="4394" w:type="dxa"/>
            <w:tcBorders>
              <w:top w:val="nil"/>
              <w:left w:val="single" w:sz="4" w:space="0" w:color="auto"/>
              <w:bottom w:val="single" w:sz="4" w:space="0" w:color="auto"/>
              <w:right w:val="single" w:sz="4" w:space="0" w:color="auto"/>
            </w:tcBorders>
          </w:tcPr>
          <w:p w:rsidR="00482F0C" w:rsidRPr="000D295C" w:rsidRDefault="00B51F60" w:rsidP="00482F0C">
            <w:pPr>
              <w:rPr>
                <w:rFonts w:cs="Arial"/>
                <w:sz w:val="22"/>
                <w:szCs w:val="22"/>
              </w:rPr>
            </w:pPr>
            <w:r w:rsidRPr="000D295C">
              <w:rPr>
                <w:rFonts w:cs="Arial"/>
                <w:sz w:val="22"/>
                <w:szCs w:val="22"/>
              </w:rPr>
              <w:t>A significant amount of development work is still being undertaken in relation to LAS to address issues of data quality and to support the new ways of working being introduced across Adult Social Care. This in turn affected the scope of our review.</w:t>
            </w:r>
          </w:p>
          <w:p w:rsidR="00B76139" w:rsidRPr="00482F0C" w:rsidRDefault="00B51F60" w:rsidP="00A124C7">
            <w:pPr>
              <w:rPr>
                <w:rFonts w:cs="Arial"/>
                <w:color w:val="000000"/>
                <w:sz w:val="22"/>
                <w:szCs w:val="22"/>
              </w:rPr>
            </w:pPr>
            <w:r w:rsidRPr="000D295C">
              <w:rPr>
                <w:rFonts w:cs="Arial"/>
                <w:sz w:val="22"/>
                <w:szCs w:val="22"/>
              </w:rPr>
              <w:t xml:space="preserve">However, in relation to system access, training and support we found a number of areas of good practice although we </w:t>
            </w:r>
            <w:r>
              <w:rPr>
                <w:rFonts w:cs="Arial"/>
                <w:sz w:val="22"/>
                <w:szCs w:val="22"/>
              </w:rPr>
              <w:t>also</w:t>
            </w:r>
            <w:r w:rsidRPr="000D295C">
              <w:rPr>
                <w:rFonts w:cs="Arial"/>
                <w:sz w:val="22"/>
                <w:szCs w:val="22"/>
              </w:rPr>
              <w:t xml:space="preserve"> identif</w:t>
            </w:r>
            <w:r>
              <w:rPr>
                <w:rFonts w:cs="Arial"/>
                <w:sz w:val="22"/>
                <w:szCs w:val="22"/>
              </w:rPr>
              <w:t>ied</w:t>
            </w:r>
            <w:r w:rsidRPr="000D295C">
              <w:rPr>
                <w:rFonts w:cs="Arial"/>
                <w:sz w:val="22"/>
                <w:szCs w:val="22"/>
              </w:rPr>
              <w:t xml:space="preserve"> instances of helpdesk requests being closed rather than resolved, and leavers not always being deleted from the system on a timely basis.</w:t>
            </w:r>
          </w:p>
        </w:tc>
        <w:tc>
          <w:tcPr>
            <w:tcW w:w="1418" w:type="dxa"/>
            <w:tcBorders>
              <w:top w:val="nil"/>
              <w:left w:val="single" w:sz="4" w:space="0" w:color="auto"/>
              <w:bottom w:val="single" w:sz="4" w:space="0" w:color="auto"/>
              <w:right w:val="single" w:sz="4" w:space="0" w:color="auto"/>
            </w:tcBorders>
          </w:tcPr>
          <w:p w:rsidR="00B76139" w:rsidRPr="00B76139" w:rsidRDefault="00B51F60" w:rsidP="00EA2823">
            <w:pPr>
              <w:rPr>
                <w:rFonts w:cs="Arial"/>
                <w:color w:val="000000"/>
                <w:sz w:val="22"/>
                <w:szCs w:val="22"/>
              </w:rPr>
            </w:pPr>
            <w:r w:rsidRPr="003D78D9">
              <w:rPr>
                <w:rFonts w:cs="Arial"/>
                <w:color w:val="000000"/>
                <w:sz w:val="22"/>
                <w:szCs w:val="22"/>
              </w:rPr>
              <w:t>Substantial</w:t>
            </w:r>
          </w:p>
        </w:tc>
      </w:tr>
      <w:tr w:rsidR="00950C6E" w:rsidTr="000F010C">
        <w:trPr>
          <w:trHeight w:val="300"/>
        </w:trPr>
        <w:tc>
          <w:tcPr>
            <w:tcW w:w="1843" w:type="dxa"/>
            <w:tcBorders>
              <w:top w:val="nil"/>
              <w:left w:val="single" w:sz="4" w:space="0" w:color="auto"/>
              <w:bottom w:val="single" w:sz="4" w:space="0" w:color="auto"/>
              <w:right w:val="single" w:sz="4" w:space="0" w:color="auto"/>
            </w:tcBorders>
            <w:shd w:val="clear" w:color="auto" w:fill="auto"/>
            <w:noWrap/>
            <w:hideMark/>
          </w:tcPr>
          <w:p w:rsidR="003D78D9" w:rsidRPr="003D78D9" w:rsidRDefault="00C6442D" w:rsidP="00D97831">
            <w:pPr>
              <w:rPr>
                <w:rFonts w:cs="Arial"/>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rsidR="003D78D9" w:rsidRPr="003D78D9" w:rsidRDefault="00B51F60" w:rsidP="00E724AD">
            <w:pPr>
              <w:rPr>
                <w:rFonts w:cs="Arial"/>
                <w:sz w:val="22"/>
                <w:szCs w:val="22"/>
              </w:rPr>
            </w:pPr>
            <w:r w:rsidRPr="003D78D9">
              <w:rPr>
                <w:rFonts w:cs="Arial"/>
                <w:sz w:val="22"/>
                <w:szCs w:val="22"/>
              </w:rPr>
              <w:t xml:space="preserve">Case management: supervision and support to front-line </w:t>
            </w:r>
            <w:r w:rsidRPr="00102BCD">
              <w:rPr>
                <w:rFonts w:cs="Arial"/>
                <w:color w:val="000000"/>
                <w:sz w:val="22"/>
                <w:szCs w:val="22"/>
              </w:rPr>
              <w:t>social</w:t>
            </w:r>
            <w:r w:rsidRPr="003D78D9">
              <w:rPr>
                <w:rFonts w:cs="Arial"/>
                <w:sz w:val="22"/>
                <w:szCs w:val="22"/>
              </w:rPr>
              <w:t xml:space="preserve"> workers to ensure </w:t>
            </w:r>
            <w:r w:rsidRPr="00E724AD">
              <w:rPr>
                <w:rFonts w:cs="Arial"/>
                <w:color w:val="000000"/>
                <w:sz w:val="22"/>
                <w:szCs w:val="22"/>
              </w:rPr>
              <w:t>safeguarding</w:t>
            </w:r>
            <w:r w:rsidRPr="003D78D9">
              <w:rPr>
                <w:rFonts w:cs="Arial"/>
                <w:sz w:val="22"/>
                <w:szCs w:val="22"/>
              </w:rPr>
              <w:t xml:space="preserve"> of service users</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3D78D9" w:rsidRPr="003D78D9" w:rsidRDefault="00B51F60" w:rsidP="00D97831">
            <w:pPr>
              <w:rPr>
                <w:rFonts w:cs="Arial"/>
                <w:sz w:val="22"/>
                <w:szCs w:val="22"/>
              </w:rPr>
            </w:pPr>
            <w:r w:rsidRPr="003D78D9">
              <w:rPr>
                <w:rFonts w:cs="Arial"/>
                <w:sz w:val="22"/>
                <w:szCs w:val="22"/>
              </w:rPr>
              <w:t>Risk and control evaluation of supervision and support arrangements under the new team management arrangements, with full compliance testing.</w:t>
            </w:r>
          </w:p>
        </w:tc>
        <w:tc>
          <w:tcPr>
            <w:tcW w:w="4394" w:type="dxa"/>
            <w:tcBorders>
              <w:top w:val="single" w:sz="4" w:space="0" w:color="auto"/>
              <w:left w:val="single" w:sz="4" w:space="0" w:color="auto"/>
              <w:bottom w:val="single" w:sz="4" w:space="0" w:color="auto"/>
              <w:right w:val="single" w:sz="4" w:space="0" w:color="auto"/>
            </w:tcBorders>
          </w:tcPr>
          <w:p w:rsidR="00A124C7" w:rsidRPr="00A124C7" w:rsidRDefault="00B51F60" w:rsidP="003D068D">
            <w:pPr>
              <w:rPr>
                <w:rFonts w:cs="Arial"/>
                <w:sz w:val="22"/>
                <w:szCs w:val="22"/>
              </w:rPr>
            </w:pPr>
            <w:r w:rsidRPr="003D78D9">
              <w:rPr>
                <w:rFonts w:cs="Arial"/>
                <w:sz w:val="22"/>
                <w:szCs w:val="22"/>
              </w:rPr>
              <w:t xml:space="preserve">The service's managers </w:t>
            </w:r>
            <w:r>
              <w:rPr>
                <w:rFonts w:cs="Arial"/>
                <w:sz w:val="22"/>
                <w:szCs w:val="22"/>
              </w:rPr>
              <w:t>we</w:t>
            </w:r>
            <w:r w:rsidRPr="003D78D9">
              <w:rPr>
                <w:rFonts w:cs="Arial"/>
                <w:sz w:val="22"/>
                <w:szCs w:val="22"/>
              </w:rPr>
              <w:t>re already aware that current supervision arrangements are not complied with; they are onerous and no longer reflect the new staff structure and the revised operational framework for adult social care. New policies and procedures have been drafted and are being pilote</w:t>
            </w:r>
            <w:r>
              <w:rPr>
                <w:rFonts w:cs="Arial"/>
                <w:sz w:val="22"/>
                <w:szCs w:val="22"/>
              </w:rPr>
              <w:t xml:space="preserve">d, and the Audit and Governance Committee was informed at its meeting in April 2017 that the </w:t>
            </w:r>
            <w:r w:rsidRPr="00B76139">
              <w:rPr>
                <w:rFonts w:cs="Arial"/>
                <w:sz w:val="22"/>
                <w:szCs w:val="22"/>
              </w:rPr>
              <w:t>Corporate Director for Operations and Delivery had update</w:t>
            </w:r>
            <w:r>
              <w:rPr>
                <w:rFonts w:cs="Arial"/>
                <w:sz w:val="22"/>
                <w:szCs w:val="22"/>
              </w:rPr>
              <w:t>d</w:t>
            </w:r>
            <w:r w:rsidRPr="00B76139">
              <w:rPr>
                <w:rFonts w:cs="Arial"/>
                <w:sz w:val="22"/>
                <w:szCs w:val="22"/>
              </w:rPr>
              <w:t xml:space="preserve"> the Scrutiny Committee </w:t>
            </w:r>
            <w:r>
              <w:rPr>
                <w:rFonts w:cs="Arial"/>
                <w:sz w:val="22"/>
                <w:szCs w:val="22"/>
              </w:rPr>
              <w:t xml:space="preserve">regarding resolution of the </w:t>
            </w:r>
            <w:r w:rsidRPr="00B76139">
              <w:rPr>
                <w:rFonts w:cs="Arial"/>
                <w:sz w:val="22"/>
                <w:szCs w:val="22"/>
              </w:rPr>
              <w:t>issues.</w:t>
            </w:r>
          </w:p>
        </w:tc>
        <w:tc>
          <w:tcPr>
            <w:tcW w:w="1418" w:type="dxa"/>
            <w:tcBorders>
              <w:top w:val="single" w:sz="4" w:space="0" w:color="auto"/>
              <w:left w:val="single" w:sz="4" w:space="0" w:color="auto"/>
              <w:bottom w:val="single" w:sz="4" w:space="0" w:color="auto"/>
              <w:right w:val="single" w:sz="4" w:space="0" w:color="auto"/>
            </w:tcBorders>
          </w:tcPr>
          <w:p w:rsidR="003D78D9" w:rsidRPr="003D78D9" w:rsidRDefault="00B51F60" w:rsidP="00D97831">
            <w:pPr>
              <w:rPr>
                <w:rFonts w:cs="Arial"/>
                <w:sz w:val="22"/>
                <w:szCs w:val="22"/>
              </w:rPr>
            </w:pPr>
            <w:r w:rsidRPr="003D78D9">
              <w:rPr>
                <w:rFonts w:cs="Arial"/>
                <w:sz w:val="22"/>
                <w:szCs w:val="22"/>
              </w:rPr>
              <w:t>Limited</w:t>
            </w:r>
          </w:p>
        </w:tc>
      </w:tr>
      <w:tr w:rsidR="00950C6E" w:rsidTr="000F010C">
        <w:trPr>
          <w:trHeight w:val="300"/>
        </w:trPr>
        <w:tc>
          <w:tcPr>
            <w:tcW w:w="1843" w:type="dxa"/>
            <w:tcBorders>
              <w:top w:val="single" w:sz="4" w:space="0" w:color="auto"/>
              <w:left w:val="nil"/>
              <w:bottom w:val="nil"/>
              <w:right w:val="nil"/>
            </w:tcBorders>
            <w:shd w:val="clear" w:color="auto" w:fill="auto"/>
            <w:noWrap/>
          </w:tcPr>
          <w:p w:rsidR="000F010C" w:rsidRDefault="00C6442D" w:rsidP="00D97831">
            <w:pPr>
              <w:rPr>
                <w:rFonts w:cs="Arial"/>
                <w:color w:val="000000"/>
                <w:sz w:val="22"/>
                <w:szCs w:val="22"/>
              </w:rPr>
            </w:pPr>
          </w:p>
          <w:p w:rsidR="000F010C" w:rsidRDefault="00C6442D" w:rsidP="00D97831">
            <w:pPr>
              <w:rPr>
                <w:rFonts w:cs="Arial"/>
                <w:color w:val="000000"/>
                <w:sz w:val="22"/>
                <w:szCs w:val="22"/>
              </w:rPr>
            </w:pPr>
          </w:p>
          <w:p w:rsidR="000F010C" w:rsidRDefault="00C6442D" w:rsidP="00D97831">
            <w:pPr>
              <w:rPr>
                <w:rFonts w:cs="Arial"/>
                <w:color w:val="000000"/>
                <w:sz w:val="22"/>
                <w:szCs w:val="22"/>
              </w:rPr>
            </w:pPr>
          </w:p>
          <w:p w:rsidR="000F010C" w:rsidRPr="003D78D9" w:rsidRDefault="00C6442D" w:rsidP="00D97831">
            <w:pPr>
              <w:rPr>
                <w:rFonts w:cs="Arial"/>
                <w:color w:val="000000"/>
                <w:sz w:val="22"/>
                <w:szCs w:val="22"/>
              </w:rPr>
            </w:pPr>
          </w:p>
        </w:tc>
        <w:tc>
          <w:tcPr>
            <w:tcW w:w="2977" w:type="dxa"/>
            <w:tcBorders>
              <w:top w:val="single" w:sz="4" w:space="0" w:color="auto"/>
              <w:left w:val="nil"/>
              <w:bottom w:val="nil"/>
              <w:right w:val="nil"/>
            </w:tcBorders>
          </w:tcPr>
          <w:p w:rsidR="000F010C" w:rsidRDefault="00C6442D" w:rsidP="00C909EF">
            <w:pPr>
              <w:rPr>
                <w:rFonts w:cs="Arial"/>
                <w:sz w:val="22"/>
                <w:szCs w:val="22"/>
              </w:rPr>
            </w:pPr>
          </w:p>
        </w:tc>
        <w:tc>
          <w:tcPr>
            <w:tcW w:w="3969" w:type="dxa"/>
            <w:tcBorders>
              <w:top w:val="single" w:sz="4" w:space="0" w:color="auto"/>
              <w:left w:val="nil"/>
              <w:bottom w:val="nil"/>
              <w:right w:val="nil"/>
            </w:tcBorders>
            <w:shd w:val="clear" w:color="auto" w:fill="auto"/>
            <w:noWrap/>
          </w:tcPr>
          <w:p w:rsidR="000F010C" w:rsidRDefault="00C6442D" w:rsidP="000F010C">
            <w:pPr>
              <w:rPr>
                <w:rFonts w:cs="Arial"/>
                <w:color w:val="000000"/>
                <w:sz w:val="22"/>
                <w:szCs w:val="22"/>
              </w:rPr>
            </w:pPr>
          </w:p>
        </w:tc>
        <w:tc>
          <w:tcPr>
            <w:tcW w:w="4394" w:type="dxa"/>
            <w:tcBorders>
              <w:top w:val="single" w:sz="4" w:space="0" w:color="auto"/>
              <w:left w:val="nil"/>
              <w:bottom w:val="nil"/>
              <w:right w:val="nil"/>
            </w:tcBorders>
          </w:tcPr>
          <w:p w:rsidR="000F010C" w:rsidRDefault="00C6442D" w:rsidP="000F010C">
            <w:pPr>
              <w:rPr>
                <w:rFonts w:cs="Arial"/>
                <w:color w:val="4F81BD" w:themeColor="accent1"/>
                <w:sz w:val="22"/>
                <w:szCs w:val="22"/>
              </w:rPr>
            </w:pPr>
          </w:p>
        </w:tc>
        <w:tc>
          <w:tcPr>
            <w:tcW w:w="1418" w:type="dxa"/>
            <w:tcBorders>
              <w:top w:val="single" w:sz="4" w:space="0" w:color="auto"/>
              <w:left w:val="nil"/>
              <w:bottom w:val="nil"/>
              <w:right w:val="nil"/>
            </w:tcBorders>
          </w:tcPr>
          <w:p w:rsidR="000F010C" w:rsidRPr="003D78D9" w:rsidRDefault="00C6442D" w:rsidP="008D2E28">
            <w:pPr>
              <w:rPr>
                <w:rFonts w:cs="Arial"/>
                <w:color w:val="000000"/>
                <w:sz w:val="22"/>
                <w:szCs w:val="22"/>
              </w:rPr>
            </w:pPr>
          </w:p>
        </w:tc>
      </w:tr>
      <w:tr w:rsidR="00950C6E" w:rsidTr="000F010C">
        <w:trPr>
          <w:trHeight w:val="300"/>
        </w:trPr>
        <w:tc>
          <w:tcPr>
            <w:tcW w:w="1843" w:type="dxa"/>
            <w:tcBorders>
              <w:top w:val="nil"/>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lastRenderedPageBreak/>
              <w:t>Adults' services</w:t>
            </w:r>
            <w:r>
              <w:rPr>
                <w:rFonts w:cs="Arial"/>
                <w:color w:val="000000"/>
                <w:sz w:val="22"/>
                <w:szCs w:val="22"/>
              </w:rPr>
              <w:t xml:space="preserve"> continued</w:t>
            </w:r>
          </w:p>
        </w:tc>
        <w:tc>
          <w:tcPr>
            <w:tcW w:w="2977" w:type="dxa"/>
            <w:tcBorders>
              <w:top w:val="nil"/>
              <w:bottom w:val="single" w:sz="4" w:space="0" w:color="auto"/>
            </w:tcBorders>
          </w:tcPr>
          <w:p w:rsidR="003D78D9" w:rsidRPr="003D78D9" w:rsidRDefault="00B51F60" w:rsidP="00C909EF">
            <w:pPr>
              <w:rPr>
                <w:rFonts w:cs="Arial"/>
                <w:sz w:val="22"/>
                <w:szCs w:val="22"/>
              </w:rPr>
            </w:pPr>
            <w:r>
              <w:rPr>
                <w:rFonts w:cs="Arial"/>
                <w:sz w:val="22"/>
                <w:szCs w:val="22"/>
              </w:rPr>
              <w:t>Case management: other areas</w:t>
            </w:r>
          </w:p>
        </w:tc>
        <w:tc>
          <w:tcPr>
            <w:tcW w:w="3969" w:type="dxa"/>
            <w:tcBorders>
              <w:top w:val="nil"/>
              <w:bottom w:val="single" w:sz="4" w:space="0" w:color="auto"/>
            </w:tcBorders>
            <w:shd w:val="clear" w:color="auto" w:fill="auto"/>
            <w:noWrap/>
          </w:tcPr>
          <w:p w:rsidR="003D78D9" w:rsidRPr="006612D8" w:rsidRDefault="00B51F60" w:rsidP="000F010C">
            <w:pPr>
              <w:rPr>
                <w:rFonts w:cs="Arial"/>
                <w:color w:val="FF0000"/>
                <w:sz w:val="22"/>
                <w:szCs w:val="22"/>
              </w:rPr>
            </w:pPr>
            <w:r>
              <w:rPr>
                <w:rFonts w:cs="Arial"/>
                <w:color w:val="000000"/>
                <w:sz w:val="22"/>
                <w:szCs w:val="22"/>
              </w:rPr>
              <w:t>Controls assessment of the a</w:t>
            </w:r>
            <w:r w:rsidRPr="00102BCD">
              <w:rPr>
                <w:rFonts w:cs="Arial"/>
                <w:color w:val="000000"/>
                <w:sz w:val="22"/>
                <w:szCs w:val="22"/>
              </w:rPr>
              <w:t>ssignment</w:t>
            </w:r>
            <w:r w:rsidRPr="003D78D9">
              <w:rPr>
                <w:rFonts w:cs="Arial"/>
                <w:sz w:val="22"/>
                <w:szCs w:val="22"/>
              </w:rPr>
              <w:t xml:space="preserve"> of officers to cases</w:t>
            </w:r>
            <w:r>
              <w:rPr>
                <w:rFonts w:cs="Arial"/>
                <w:sz w:val="22"/>
                <w:szCs w:val="22"/>
              </w:rPr>
              <w:t xml:space="preserve">; </w:t>
            </w:r>
            <w:r w:rsidRPr="003D78D9">
              <w:rPr>
                <w:rFonts w:cs="Arial"/>
                <w:sz w:val="22"/>
                <w:szCs w:val="22"/>
              </w:rPr>
              <w:t>timely completion of action to statutory and advisory deadlines</w:t>
            </w:r>
            <w:r>
              <w:rPr>
                <w:rFonts w:cs="Arial"/>
                <w:sz w:val="22"/>
                <w:szCs w:val="22"/>
              </w:rPr>
              <w:t xml:space="preserve">; and </w:t>
            </w:r>
            <w:r w:rsidRPr="003D78D9">
              <w:rPr>
                <w:rFonts w:cs="Arial"/>
                <w:sz w:val="22"/>
                <w:szCs w:val="22"/>
              </w:rPr>
              <w:t>delegation of responsibilities to accredited social workers</w:t>
            </w:r>
            <w:r>
              <w:rPr>
                <w:rFonts w:cs="Arial"/>
                <w:sz w:val="22"/>
                <w:szCs w:val="22"/>
              </w:rPr>
              <w:t>.</w:t>
            </w:r>
          </w:p>
        </w:tc>
        <w:tc>
          <w:tcPr>
            <w:tcW w:w="4394" w:type="dxa"/>
            <w:tcBorders>
              <w:top w:val="nil"/>
            </w:tcBorders>
          </w:tcPr>
          <w:p w:rsidR="008D2E28" w:rsidRPr="00CE358D" w:rsidRDefault="00B51F60" w:rsidP="003D068D">
            <w:pPr>
              <w:rPr>
                <w:rFonts w:cs="Arial"/>
                <w:sz w:val="22"/>
                <w:szCs w:val="22"/>
              </w:rPr>
            </w:pPr>
            <w:r w:rsidRPr="00CE358D">
              <w:rPr>
                <w:rFonts w:cs="Arial"/>
                <w:sz w:val="22"/>
                <w:szCs w:val="22"/>
              </w:rPr>
              <w:t>As noted above the Adult and Social Care Service is still subject to considerable change. However the social care case management process appears to be well controlled across a number of different teams (although at this point we have assessed only the adequacy of controls and not their effectiveness in operation). There are some areas of good practice including comprehensive training and support for all staff; efficient review of work trays and case progression by team managers; improved performance monitoring and reporting; and adoption of new ways of working developed through the Passport to Independence programme.</w:t>
            </w:r>
          </w:p>
        </w:tc>
        <w:tc>
          <w:tcPr>
            <w:tcW w:w="1418" w:type="dxa"/>
            <w:tcBorders>
              <w:top w:val="nil"/>
              <w:bottom w:val="single" w:sz="4" w:space="0" w:color="auto"/>
            </w:tcBorders>
          </w:tcPr>
          <w:p w:rsidR="003D78D9" w:rsidRPr="003D78D9" w:rsidRDefault="00B51F60" w:rsidP="008D2E28">
            <w:pPr>
              <w:rPr>
                <w:rFonts w:cs="Arial"/>
                <w:sz w:val="22"/>
                <w:szCs w:val="22"/>
              </w:rPr>
            </w:pPr>
            <w:r w:rsidRPr="003D78D9">
              <w:rPr>
                <w:rFonts w:cs="Arial"/>
                <w:color w:val="000000"/>
                <w:sz w:val="22"/>
                <w:szCs w:val="22"/>
              </w:rPr>
              <w:t>Substantial</w:t>
            </w:r>
          </w:p>
        </w:tc>
      </w:tr>
      <w:tr w:rsidR="00950C6E" w:rsidTr="00B76139">
        <w:trPr>
          <w:trHeight w:val="300"/>
        </w:trPr>
        <w:tc>
          <w:tcPr>
            <w:tcW w:w="1843" w:type="dxa"/>
            <w:tcBorders>
              <w:top w:val="single" w:sz="4" w:space="0" w:color="auto"/>
              <w:bottom w:val="nil"/>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Public health and wellbeing services</w:t>
            </w:r>
          </w:p>
        </w:tc>
        <w:tc>
          <w:tcPr>
            <w:tcW w:w="2977" w:type="dxa"/>
            <w:tcBorders>
              <w:top w:val="nil"/>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Commissioning and oversight of commissioned public health service provision</w:t>
            </w:r>
          </w:p>
        </w:tc>
        <w:tc>
          <w:tcPr>
            <w:tcW w:w="3969" w:type="dxa"/>
            <w:tcBorders>
              <w:top w:val="nil"/>
              <w:bottom w:val="single" w:sz="4" w:space="0" w:color="auto"/>
            </w:tcBorders>
            <w:shd w:val="clear" w:color="auto" w:fill="auto"/>
            <w:noWrap/>
            <w:hideMark/>
          </w:tcPr>
          <w:p w:rsidR="003D78D9" w:rsidRPr="003D78D9" w:rsidRDefault="00B51F60" w:rsidP="00D97831">
            <w:pPr>
              <w:rPr>
                <w:rFonts w:cs="Arial"/>
                <w:color w:val="000000"/>
                <w:sz w:val="22"/>
                <w:szCs w:val="22"/>
              </w:rPr>
            </w:pPr>
            <w:r w:rsidRPr="003D78D9">
              <w:rPr>
                <w:rFonts w:cs="Arial"/>
                <w:color w:val="000000"/>
                <w:sz w:val="22"/>
                <w:szCs w:val="22"/>
              </w:rPr>
              <w:t>Risk and control evaluation of joint working with the NHS and voluntary sector to provide services within Lancashire.</w:t>
            </w:r>
          </w:p>
        </w:tc>
        <w:tc>
          <w:tcPr>
            <w:tcW w:w="4394" w:type="dxa"/>
            <w:tcBorders>
              <w:top w:val="nil"/>
              <w:bottom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Controls to oversee contracts for the provision of public health services are in place and operating effectively.</w:t>
            </w:r>
          </w:p>
        </w:tc>
        <w:tc>
          <w:tcPr>
            <w:tcW w:w="1418" w:type="dxa"/>
            <w:tcBorders>
              <w:top w:val="single" w:sz="4" w:space="0" w:color="auto"/>
              <w:bottom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Substantial</w:t>
            </w:r>
          </w:p>
        </w:tc>
      </w:tr>
      <w:tr w:rsidR="00950C6E" w:rsidTr="006612D8">
        <w:trPr>
          <w:trHeight w:val="300"/>
        </w:trPr>
        <w:tc>
          <w:tcPr>
            <w:tcW w:w="1843" w:type="dxa"/>
            <w:tcBorders>
              <w:top w:val="nil"/>
              <w:bottom w:val="dashSmallGap" w:sz="4" w:space="0" w:color="auto"/>
            </w:tcBorders>
            <w:shd w:val="clear" w:color="auto" w:fill="auto"/>
            <w:noWrap/>
          </w:tcPr>
          <w:p w:rsidR="003D78D9" w:rsidRPr="003D78D9" w:rsidRDefault="00C6442D" w:rsidP="00D97831">
            <w:pPr>
              <w:rPr>
                <w:rFonts w:cs="Arial"/>
                <w:color w:val="000000"/>
                <w:sz w:val="22"/>
                <w:szCs w:val="22"/>
              </w:rPr>
            </w:pP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Operation of the Health and Wellbeing Board</w:t>
            </w:r>
          </w:p>
        </w:tc>
        <w:tc>
          <w:tcPr>
            <w:tcW w:w="3969" w:type="dxa"/>
            <w:tcBorders>
              <w:bottom w:val="dashSmallGap"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Assessment of the constitution and operation of the Board against professional guidance, local requirements and current best practice,</w:t>
            </w:r>
          </w:p>
        </w:tc>
        <w:tc>
          <w:tcPr>
            <w:tcW w:w="4394" w:type="dxa"/>
            <w:tcBorders>
              <w:bottom w:val="single" w:sz="4" w:space="0" w:color="auto"/>
            </w:tcBorders>
          </w:tcPr>
          <w:p w:rsidR="003D78D9" w:rsidRPr="003D78D9" w:rsidRDefault="00B51F60" w:rsidP="00D97831">
            <w:pPr>
              <w:rPr>
                <w:rFonts w:cs="Arial"/>
                <w:color w:val="000000"/>
                <w:sz w:val="22"/>
                <w:szCs w:val="22"/>
              </w:rPr>
            </w:pPr>
            <w:r w:rsidRPr="003D78D9">
              <w:rPr>
                <w:rFonts w:cs="Arial"/>
                <w:sz w:val="22"/>
                <w:szCs w:val="22"/>
              </w:rPr>
              <w:t>The Lancashire Health and Wellbeing Board has been appropriately constituted and is acting in accordance with its terms of reference.</w:t>
            </w:r>
          </w:p>
        </w:tc>
        <w:tc>
          <w:tcPr>
            <w:tcW w:w="1418" w:type="dxa"/>
            <w:tcBorders>
              <w:bottom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Substantial</w:t>
            </w:r>
          </w:p>
        </w:tc>
      </w:tr>
      <w:tr w:rsidR="00950C6E" w:rsidTr="00B76139">
        <w:trPr>
          <w:trHeight w:val="300"/>
        </w:trPr>
        <w:tc>
          <w:tcPr>
            <w:tcW w:w="1843" w:type="dxa"/>
            <w:tcBorders>
              <w:top w:val="dashSmallGap" w:sz="4" w:space="0" w:color="auto"/>
              <w:left w:val="single" w:sz="4" w:space="0" w:color="auto"/>
              <w:bottom w:val="single" w:sz="4" w:space="0" w:color="auto"/>
              <w:right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with Corporate commissioning</w:t>
            </w:r>
          </w:p>
        </w:tc>
        <w:tc>
          <w:tcPr>
            <w:tcW w:w="2977" w:type="dxa"/>
            <w:tcBorders>
              <w:top w:val="nil"/>
              <w:left w:val="single" w:sz="4" w:space="0" w:color="auto"/>
              <w:bottom w:val="single" w:sz="4" w:space="0" w:color="auto"/>
              <w:right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Operation of the Better Care Fund</w:t>
            </w:r>
          </w:p>
        </w:tc>
        <w:tc>
          <w:tcPr>
            <w:tcW w:w="3969" w:type="dxa"/>
            <w:tcBorders>
              <w:top w:val="dashSmallGap" w:sz="4" w:space="0" w:color="auto"/>
              <w:left w:val="single" w:sz="4" w:space="0" w:color="auto"/>
              <w:bottom w:val="single" w:sz="4" w:space="0" w:color="auto"/>
              <w:right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Including assessment of the governance arrangements for the council's use of the Better Care Fund.</w:t>
            </w:r>
          </w:p>
        </w:tc>
        <w:tc>
          <w:tcPr>
            <w:tcW w:w="4394" w:type="dxa"/>
            <w:tcBorders>
              <w:top w:val="single" w:sz="4" w:space="0" w:color="auto"/>
              <w:left w:val="single" w:sz="4" w:space="0" w:color="auto"/>
              <w:bottom w:val="single" w:sz="4" w:space="0" w:color="auto"/>
              <w:right w:val="single" w:sz="4" w:space="0" w:color="auto"/>
            </w:tcBorders>
          </w:tcPr>
          <w:p w:rsidR="003D78D9" w:rsidRPr="003D78D9" w:rsidRDefault="00B51F60" w:rsidP="00D97831">
            <w:pPr>
              <w:rPr>
                <w:rFonts w:cs="Arial"/>
                <w:sz w:val="22"/>
                <w:szCs w:val="22"/>
              </w:rPr>
            </w:pPr>
            <w:r w:rsidRPr="003D78D9">
              <w:rPr>
                <w:rFonts w:cs="Arial"/>
                <w:sz w:val="22"/>
                <w:szCs w:val="22"/>
              </w:rPr>
              <w:t>The procedures operated within the council to administer the fund are adequate and effective.</w:t>
            </w:r>
          </w:p>
        </w:tc>
        <w:tc>
          <w:tcPr>
            <w:tcW w:w="1418" w:type="dxa"/>
            <w:tcBorders>
              <w:top w:val="single" w:sz="4" w:space="0" w:color="auto"/>
              <w:left w:val="single" w:sz="4" w:space="0" w:color="auto"/>
              <w:bottom w:val="single" w:sz="4" w:space="0" w:color="auto"/>
              <w:right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Substantial</w:t>
            </w:r>
          </w:p>
        </w:tc>
      </w:tr>
      <w:tr w:rsidR="00950C6E" w:rsidTr="006612D8">
        <w:trPr>
          <w:trHeight w:val="300"/>
        </w:trPr>
        <w:tc>
          <w:tcPr>
            <w:tcW w:w="1843" w:type="dxa"/>
            <w:tcBorders>
              <w:bottom w:val="nil"/>
            </w:tcBorders>
            <w:shd w:val="clear" w:color="auto" w:fill="auto"/>
            <w:noWrap/>
          </w:tcPr>
          <w:p w:rsidR="003D78D9" w:rsidRPr="003D78D9" w:rsidRDefault="00B51F60" w:rsidP="00D97831">
            <w:pPr>
              <w:rPr>
                <w:rFonts w:cs="Arial"/>
                <w:sz w:val="22"/>
                <w:szCs w:val="22"/>
              </w:rPr>
            </w:pPr>
            <w:r w:rsidRPr="003D78D9">
              <w:rPr>
                <w:rFonts w:cs="Arial"/>
                <w:color w:val="000000"/>
                <w:sz w:val="22"/>
                <w:szCs w:val="22"/>
              </w:rPr>
              <w:lastRenderedPageBreak/>
              <w:t>Corporate commissioning</w:t>
            </w:r>
          </w:p>
        </w:tc>
        <w:tc>
          <w:tcPr>
            <w:tcW w:w="2977" w:type="dxa"/>
            <w:tcBorders>
              <w:bottom w:val="single" w:sz="4" w:space="0" w:color="auto"/>
            </w:tcBorders>
          </w:tcPr>
          <w:p w:rsidR="003D78D9" w:rsidRPr="003D78D9" w:rsidRDefault="00B51F60" w:rsidP="00E724AD">
            <w:pPr>
              <w:rPr>
                <w:rFonts w:cs="Arial"/>
                <w:sz w:val="22"/>
                <w:szCs w:val="22"/>
              </w:rPr>
            </w:pPr>
            <w:r w:rsidRPr="00102BCD">
              <w:rPr>
                <w:rFonts w:cs="Arial"/>
                <w:color w:val="000000"/>
                <w:sz w:val="22"/>
                <w:szCs w:val="22"/>
              </w:rPr>
              <w:t>Commissioning</w:t>
            </w:r>
            <w:r w:rsidRPr="003D78D9">
              <w:rPr>
                <w:rFonts w:cs="Arial"/>
                <w:sz w:val="22"/>
                <w:szCs w:val="22"/>
              </w:rPr>
              <w:t>, design and monitoring of the capital programme</w:t>
            </w:r>
          </w:p>
        </w:tc>
        <w:tc>
          <w:tcPr>
            <w:tcW w:w="3969" w:type="dxa"/>
            <w:tcBorders>
              <w:bottom w:val="single" w:sz="4" w:space="0" w:color="auto"/>
            </w:tcBorders>
            <w:shd w:val="clear" w:color="auto" w:fill="auto"/>
            <w:noWrap/>
          </w:tcPr>
          <w:p w:rsidR="003D78D9" w:rsidRPr="003D78D9" w:rsidRDefault="00B51F60" w:rsidP="00D97831">
            <w:pPr>
              <w:rPr>
                <w:rFonts w:cs="Arial"/>
                <w:sz w:val="22"/>
                <w:szCs w:val="22"/>
              </w:rPr>
            </w:pPr>
            <w:r w:rsidRPr="003D78D9">
              <w:rPr>
                <w:rFonts w:cs="Arial"/>
                <w:sz w:val="22"/>
                <w:szCs w:val="22"/>
              </w:rPr>
              <w:t>Risk and control evaluation of the revised procedures to oversee the whole capital programme, including elements managed by the council for the Lancashire Economic Partnership.</w:t>
            </w:r>
          </w:p>
        </w:tc>
        <w:tc>
          <w:tcPr>
            <w:tcW w:w="4394" w:type="dxa"/>
            <w:tcBorders>
              <w:bottom w:val="single" w:sz="4" w:space="0" w:color="auto"/>
            </w:tcBorders>
          </w:tcPr>
          <w:p w:rsidR="003D78D9" w:rsidRPr="003D78D9" w:rsidRDefault="00B51F60" w:rsidP="00CE358D">
            <w:pPr>
              <w:rPr>
                <w:rFonts w:cs="Arial"/>
                <w:sz w:val="22"/>
                <w:szCs w:val="22"/>
              </w:rPr>
            </w:pPr>
            <w:r w:rsidRPr="007B5C8F">
              <w:rPr>
                <w:rFonts w:cs="Arial"/>
                <w:sz w:val="22"/>
                <w:szCs w:val="22"/>
              </w:rPr>
              <w:t>A risk and control framework has been documented and agreed with management, and has been assessed as adequate. Detailed testing of its effectiveness will be undertaken during 2017/18.</w:t>
            </w:r>
          </w:p>
        </w:tc>
        <w:tc>
          <w:tcPr>
            <w:tcW w:w="1418" w:type="dxa"/>
            <w:tcBorders>
              <w:bottom w:val="single" w:sz="4" w:space="0" w:color="auto"/>
            </w:tcBorders>
          </w:tcPr>
          <w:p w:rsidR="003D78D9" w:rsidRPr="003D78D9" w:rsidRDefault="00B51F60" w:rsidP="00364E42">
            <w:pPr>
              <w:rPr>
                <w:rFonts w:cs="Arial"/>
                <w:sz w:val="22"/>
                <w:szCs w:val="22"/>
              </w:rPr>
            </w:pPr>
            <w:r w:rsidRPr="003D78D9">
              <w:rPr>
                <w:rFonts w:cs="Arial"/>
                <w:color w:val="000000"/>
                <w:sz w:val="22"/>
                <w:szCs w:val="22"/>
              </w:rPr>
              <w:t>Substantial</w:t>
            </w:r>
            <w:r>
              <w:rPr>
                <w:rFonts w:cs="Arial"/>
                <w:color w:val="000000"/>
                <w:sz w:val="22"/>
                <w:szCs w:val="22"/>
              </w:rPr>
              <w:t xml:space="preserve"> </w:t>
            </w:r>
          </w:p>
        </w:tc>
      </w:tr>
      <w:tr w:rsidR="00950C6E" w:rsidTr="006612D8">
        <w:trPr>
          <w:trHeight w:val="300"/>
        </w:trPr>
        <w:tc>
          <w:tcPr>
            <w:tcW w:w="1843" w:type="dxa"/>
            <w:tcBorders>
              <w:top w:val="nil"/>
              <w:left w:val="single" w:sz="4" w:space="0" w:color="auto"/>
              <w:bottom w:val="nil"/>
              <w:right w:val="single" w:sz="4" w:space="0" w:color="auto"/>
            </w:tcBorders>
            <w:shd w:val="clear" w:color="auto" w:fill="auto"/>
            <w:noWrap/>
          </w:tcPr>
          <w:p w:rsidR="003D78D9" w:rsidRPr="003D78D9" w:rsidRDefault="00C6442D" w:rsidP="00D97831">
            <w:pPr>
              <w:rPr>
                <w:rFonts w:cs="Arial"/>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rsidR="003D78D9" w:rsidRPr="003D78D9" w:rsidRDefault="00B51F60" w:rsidP="00E724AD">
            <w:pPr>
              <w:rPr>
                <w:rFonts w:cs="Arial"/>
                <w:sz w:val="22"/>
                <w:szCs w:val="22"/>
              </w:rPr>
            </w:pPr>
            <w:r w:rsidRPr="00102BCD">
              <w:rPr>
                <w:rFonts w:cs="Arial"/>
                <w:color w:val="000000"/>
                <w:sz w:val="22"/>
                <w:szCs w:val="22"/>
              </w:rPr>
              <w:t>Provision</w:t>
            </w:r>
            <w:r w:rsidRPr="003D78D9">
              <w:rPr>
                <w:rFonts w:cs="Arial"/>
                <w:sz w:val="22"/>
                <w:szCs w:val="22"/>
              </w:rPr>
              <w:t xml:space="preserve"> of school places</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3D78D9" w:rsidRPr="003D78D9" w:rsidRDefault="00B51F60" w:rsidP="00D97831">
            <w:pPr>
              <w:rPr>
                <w:rFonts w:cs="Arial"/>
                <w:sz w:val="22"/>
                <w:szCs w:val="22"/>
              </w:rPr>
            </w:pPr>
            <w:r w:rsidRPr="003D78D9">
              <w:rPr>
                <w:rFonts w:cs="Arial"/>
                <w:sz w:val="22"/>
                <w:szCs w:val="22"/>
              </w:rPr>
              <w:t>Risk and control evaluation of the provision of school places.</w:t>
            </w:r>
          </w:p>
        </w:tc>
        <w:tc>
          <w:tcPr>
            <w:tcW w:w="4394" w:type="dxa"/>
            <w:tcBorders>
              <w:top w:val="single" w:sz="4" w:space="0" w:color="auto"/>
              <w:left w:val="single" w:sz="4" w:space="0" w:color="auto"/>
              <w:right w:val="single" w:sz="4" w:space="0" w:color="auto"/>
            </w:tcBorders>
          </w:tcPr>
          <w:p w:rsidR="003D78D9" w:rsidRPr="003D78D9" w:rsidRDefault="00B51F60" w:rsidP="00D97831">
            <w:pPr>
              <w:rPr>
                <w:rFonts w:cs="Arial"/>
                <w:sz w:val="22"/>
                <w:szCs w:val="22"/>
              </w:rPr>
            </w:pPr>
            <w:r w:rsidRPr="003D78D9">
              <w:rPr>
                <w:rFonts w:cs="Arial"/>
                <w:sz w:val="22"/>
                <w:szCs w:val="22"/>
              </w:rPr>
              <w:t>Effective controls are operated to ensure that the council's statutory responsibilities are fully met.</w:t>
            </w:r>
          </w:p>
        </w:tc>
        <w:tc>
          <w:tcPr>
            <w:tcW w:w="1418" w:type="dxa"/>
            <w:tcBorders>
              <w:top w:val="single" w:sz="4" w:space="0" w:color="auto"/>
              <w:left w:val="single" w:sz="4" w:space="0" w:color="auto"/>
              <w:bottom w:val="single" w:sz="4" w:space="0" w:color="auto"/>
              <w:right w:val="single" w:sz="4" w:space="0" w:color="auto"/>
            </w:tcBorders>
          </w:tcPr>
          <w:p w:rsidR="003D78D9" w:rsidRPr="003D78D9" w:rsidRDefault="00B51F60" w:rsidP="00D97831">
            <w:pPr>
              <w:rPr>
                <w:rFonts w:cs="Arial"/>
                <w:sz w:val="22"/>
                <w:szCs w:val="22"/>
              </w:rPr>
            </w:pPr>
            <w:r w:rsidRPr="003D78D9">
              <w:rPr>
                <w:rFonts w:cs="Arial"/>
                <w:sz w:val="22"/>
                <w:szCs w:val="22"/>
              </w:rPr>
              <w:t>Full</w:t>
            </w:r>
          </w:p>
        </w:tc>
      </w:tr>
      <w:tr w:rsidR="00950C6E" w:rsidTr="00B76139">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3D78D9" w:rsidRPr="003D78D9" w:rsidRDefault="00C6442D" w:rsidP="00D97831">
            <w:pPr>
              <w:rPr>
                <w:rFonts w:cs="Arial"/>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rsidR="003D78D9" w:rsidRPr="003D78D9" w:rsidRDefault="00B51F60" w:rsidP="00E724AD">
            <w:pPr>
              <w:rPr>
                <w:rFonts w:cs="Arial"/>
                <w:sz w:val="22"/>
                <w:szCs w:val="22"/>
              </w:rPr>
            </w:pPr>
            <w:r w:rsidRPr="003D78D9">
              <w:rPr>
                <w:rFonts w:cs="Arial"/>
                <w:sz w:val="22"/>
                <w:szCs w:val="22"/>
              </w:rPr>
              <w:t xml:space="preserve">Certification of claims made </w:t>
            </w:r>
            <w:r w:rsidRPr="00102BCD">
              <w:rPr>
                <w:rFonts w:cs="Arial"/>
                <w:color w:val="000000"/>
                <w:sz w:val="22"/>
                <w:szCs w:val="22"/>
              </w:rPr>
              <w:t>through</w:t>
            </w:r>
            <w:r w:rsidRPr="003D78D9">
              <w:rPr>
                <w:rFonts w:cs="Arial"/>
                <w:sz w:val="22"/>
                <w:szCs w:val="22"/>
              </w:rPr>
              <w:t xml:space="preserve"> the Challenge Fund to the Department for Transport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3D78D9" w:rsidRPr="003D78D9" w:rsidRDefault="00B51F60" w:rsidP="00D97831">
            <w:pPr>
              <w:rPr>
                <w:rFonts w:cs="Arial"/>
                <w:sz w:val="22"/>
                <w:szCs w:val="22"/>
              </w:rPr>
            </w:pPr>
            <w:r w:rsidRPr="003D78D9">
              <w:rPr>
                <w:rFonts w:cs="Arial"/>
                <w:sz w:val="22"/>
                <w:szCs w:val="22"/>
              </w:rPr>
              <w:t>Testing to certify that central government's grant funding requirements have been met.</w:t>
            </w:r>
          </w:p>
        </w:tc>
        <w:tc>
          <w:tcPr>
            <w:tcW w:w="4394" w:type="dxa"/>
            <w:tcBorders>
              <w:top w:val="single" w:sz="4" w:space="0" w:color="auto"/>
              <w:left w:val="single" w:sz="4" w:space="0" w:color="auto"/>
              <w:bottom w:val="single" w:sz="4" w:space="0" w:color="auto"/>
              <w:right w:val="single" w:sz="4" w:space="0" w:color="auto"/>
            </w:tcBorders>
          </w:tcPr>
          <w:p w:rsidR="003D78D9" w:rsidRPr="003D78D9" w:rsidRDefault="00B51F60" w:rsidP="00D97831">
            <w:pPr>
              <w:rPr>
                <w:rFonts w:cs="Arial"/>
                <w:sz w:val="22"/>
                <w:szCs w:val="22"/>
              </w:rPr>
            </w:pPr>
            <w:r w:rsidRPr="003D78D9">
              <w:rPr>
                <w:rFonts w:cs="Arial"/>
                <w:sz w:val="22"/>
                <w:szCs w:val="22"/>
              </w:rPr>
              <w:t>The council's use of £5.1 million of grant funding for M65 motorway infrastructure and £5 million for its lighting under the Challenge Fund has been certified as meeting the conditions of that funding.</w:t>
            </w:r>
          </w:p>
        </w:tc>
        <w:tc>
          <w:tcPr>
            <w:tcW w:w="1418" w:type="dxa"/>
            <w:tcBorders>
              <w:top w:val="single" w:sz="4" w:space="0" w:color="auto"/>
              <w:left w:val="single" w:sz="4" w:space="0" w:color="auto"/>
              <w:bottom w:val="single" w:sz="4" w:space="0" w:color="auto"/>
              <w:right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Not applicable</w:t>
            </w:r>
          </w:p>
        </w:tc>
      </w:tr>
      <w:tr w:rsidR="00950C6E" w:rsidTr="000F010C">
        <w:trPr>
          <w:trHeight w:val="300"/>
        </w:trPr>
        <w:tc>
          <w:tcPr>
            <w:tcW w:w="1843" w:type="dxa"/>
            <w:tcBorders>
              <w:top w:val="nil"/>
              <w:bottom w:val="nil"/>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Economic development</w:t>
            </w:r>
          </w:p>
        </w:tc>
        <w:tc>
          <w:tcPr>
            <w:tcW w:w="2977" w:type="dxa"/>
            <w:tcBorders>
              <w:top w:val="nil"/>
              <w:bottom w:val="nil"/>
            </w:tcBorders>
          </w:tcPr>
          <w:p w:rsidR="003D78D9" w:rsidRPr="003D78D9" w:rsidRDefault="00B51F60" w:rsidP="00E724AD">
            <w:pPr>
              <w:rPr>
                <w:rFonts w:cs="Arial"/>
                <w:color w:val="000000"/>
                <w:sz w:val="22"/>
                <w:szCs w:val="22"/>
              </w:rPr>
            </w:pPr>
            <w:r w:rsidRPr="003D78D9">
              <w:rPr>
                <w:rFonts w:cs="Arial"/>
                <w:color w:val="000000"/>
                <w:sz w:val="22"/>
                <w:szCs w:val="22"/>
              </w:rPr>
              <w:t>Lancashire Economic Partnership (LEP): governance and accountability</w:t>
            </w:r>
          </w:p>
        </w:tc>
        <w:tc>
          <w:tcPr>
            <w:tcW w:w="3969" w:type="dxa"/>
            <w:tcBorders>
              <w:top w:val="nil"/>
            </w:tcBorders>
            <w:shd w:val="clear" w:color="auto" w:fill="auto"/>
            <w:noWrap/>
            <w:hideMark/>
          </w:tcPr>
          <w:p w:rsidR="003D78D9" w:rsidRPr="003D78D9" w:rsidRDefault="00B51F60" w:rsidP="00D97831">
            <w:pPr>
              <w:rPr>
                <w:rFonts w:cs="Arial"/>
                <w:sz w:val="22"/>
                <w:szCs w:val="22"/>
              </w:rPr>
            </w:pPr>
            <w:r w:rsidRPr="003D78D9">
              <w:rPr>
                <w:rFonts w:cs="Arial"/>
                <w:sz w:val="22"/>
                <w:szCs w:val="22"/>
              </w:rPr>
              <w:t>Assessment of the constitution and operation of the Partnership against guidance and local requirements, to ensure the success of the partnership and the effective use of its individual funding streams (Lancashire Enterprise Zone, City Deal, Boost Business Lancashire, Growing Places Fund, Growth Deal Programme).</w:t>
            </w:r>
          </w:p>
        </w:tc>
        <w:tc>
          <w:tcPr>
            <w:tcW w:w="4394" w:type="dxa"/>
            <w:tcBorders>
              <w:top w:val="nil"/>
            </w:tcBorders>
          </w:tcPr>
          <w:p w:rsidR="003D78D9" w:rsidRPr="003D78D9" w:rsidRDefault="00B51F60" w:rsidP="00D97831">
            <w:pPr>
              <w:rPr>
                <w:rFonts w:cs="Arial"/>
                <w:sz w:val="22"/>
                <w:szCs w:val="22"/>
              </w:rPr>
            </w:pPr>
            <w:r w:rsidRPr="003D78D9">
              <w:rPr>
                <w:rFonts w:cs="Arial"/>
                <w:sz w:val="22"/>
                <w:szCs w:val="22"/>
              </w:rPr>
              <w:t>The operation of the LEP is heavily circumscribed by central government and the council is compliant with those requirements.</w:t>
            </w:r>
          </w:p>
        </w:tc>
        <w:tc>
          <w:tcPr>
            <w:tcW w:w="1418" w:type="dxa"/>
            <w:tcBorders>
              <w:top w:val="nil"/>
            </w:tcBorders>
          </w:tcPr>
          <w:p w:rsidR="003D78D9" w:rsidRPr="003D78D9" w:rsidRDefault="00B51F60" w:rsidP="00D97831">
            <w:pPr>
              <w:rPr>
                <w:rFonts w:cs="Arial"/>
                <w:sz w:val="22"/>
                <w:szCs w:val="22"/>
              </w:rPr>
            </w:pPr>
            <w:r w:rsidRPr="003D78D9">
              <w:rPr>
                <w:rFonts w:cs="Arial"/>
                <w:sz w:val="22"/>
                <w:szCs w:val="22"/>
              </w:rPr>
              <w:t>Substantial</w:t>
            </w:r>
          </w:p>
        </w:tc>
      </w:tr>
      <w:tr w:rsidR="00950C6E" w:rsidTr="000F010C">
        <w:trPr>
          <w:trHeight w:val="300"/>
        </w:trPr>
        <w:tc>
          <w:tcPr>
            <w:tcW w:w="1843" w:type="dxa"/>
            <w:tcBorders>
              <w:top w:val="nil"/>
              <w:bottom w:val="single" w:sz="4" w:space="0" w:color="auto"/>
            </w:tcBorders>
            <w:shd w:val="clear" w:color="auto" w:fill="auto"/>
            <w:noWrap/>
          </w:tcPr>
          <w:p w:rsidR="003D78D9" w:rsidRPr="003D78D9" w:rsidRDefault="00C6442D" w:rsidP="00D97831">
            <w:pPr>
              <w:rPr>
                <w:rFonts w:cs="Arial"/>
                <w:color w:val="000000"/>
                <w:sz w:val="22"/>
                <w:szCs w:val="22"/>
              </w:rPr>
            </w:pPr>
          </w:p>
        </w:tc>
        <w:tc>
          <w:tcPr>
            <w:tcW w:w="2977" w:type="dxa"/>
            <w:tcBorders>
              <w:top w:val="nil"/>
            </w:tcBorders>
          </w:tcPr>
          <w:p w:rsidR="003D78D9" w:rsidRPr="003D78D9" w:rsidRDefault="00C6442D" w:rsidP="00D97831">
            <w:pPr>
              <w:rPr>
                <w:rFonts w:cs="Arial"/>
                <w:color w:val="000000"/>
                <w:sz w:val="22"/>
                <w:szCs w:val="22"/>
              </w:rPr>
            </w:pPr>
          </w:p>
        </w:tc>
        <w:tc>
          <w:tcPr>
            <w:tcW w:w="3969" w:type="dxa"/>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 xml:space="preserve">Establish and assess the assurance framework for the programme, including assurance available from other areas of audit work and any work by other organisations. </w:t>
            </w:r>
          </w:p>
        </w:tc>
        <w:tc>
          <w:tcPr>
            <w:tcW w:w="4394" w:type="dxa"/>
          </w:tcPr>
          <w:p w:rsidR="003D78D9" w:rsidRPr="003D78D9" w:rsidRDefault="00B51F60" w:rsidP="00D97831">
            <w:pPr>
              <w:rPr>
                <w:rFonts w:cs="Arial"/>
                <w:sz w:val="22"/>
                <w:szCs w:val="22"/>
              </w:rPr>
            </w:pPr>
            <w:r w:rsidRPr="003D78D9">
              <w:rPr>
                <w:rFonts w:cs="Arial"/>
                <w:sz w:val="22"/>
                <w:szCs w:val="22"/>
              </w:rPr>
              <w:t xml:space="preserve">The assurance framework for the LEP was audited by the North West office of the former Department for Business and Skills and by the Government Internal Audit Office, both of which identified only minor administrative points. </w:t>
            </w:r>
          </w:p>
        </w:tc>
        <w:tc>
          <w:tcPr>
            <w:tcW w:w="1418" w:type="dxa"/>
          </w:tcPr>
          <w:p w:rsidR="003D78D9" w:rsidRPr="003D78D9" w:rsidRDefault="00B51F60" w:rsidP="00D97831">
            <w:pPr>
              <w:rPr>
                <w:rFonts w:cs="Arial"/>
                <w:color w:val="000000"/>
                <w:sz w:val="22"/>
                <w:szCs w:val="22"/>
              </w:rPr>
            </w:pPr>
            <w:r w:rsidRPr="003D78D9">
              <w:rPr>
                <w:rFonts w:cs="Arial"/>
                <w:sz w:val="22"/>
                <w:szCs w:val="22"/>
              </w:rPr>
              <w:t>Substantial</w:t>
            </w:r>
          </w:p>
        </w:tc>
      </w:tr>
      <w:tr w:rsidR="00950C6E" w:rsidTr="000F010C">
        <w:trPr>
          <w:trHeight w:val="300"/>
        </w:trPr>
        <w:tc>
          <w:tcPr>
            <w:tcW w:w="1843" w:type="dxa"/>
            <w:tcBorders>
              <w:top w:val="single" w:sz="4" w:space="0" w:color="auto"/>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lastRenderedPageBreak/>
              <w:t>Economic development</w:t>
            </w:r>
            <w:r>
              <w:rPr>
                <w:rFonts w:cs="Arial"/>
                <w:color w:val="000000"/>
                <w:sz w:val="22"/>
                <w:szCs w:val="22"/>
              </w:rPr>
              <w:t xml:space="preserve"> continued</w:t>
            </w: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Local Growth Fund certification</w:t>
            </w:r>
          </w:p>
        </w:tc>
        <w:tc>
          <w:tcPr>
            <w:tcW w:w="3969" w:type="dxa"/>
            <w:tcBorders>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We have certified that the Department for Communities and Local Government's requirements in respect of Growth Deal funding have been met.</w:t>
            </w:r>
          </w:p>
        </w:tc>
        <w:tc>
          <w:tcPr>
            <w:tcW w:w="4394" w:type="dxa"/>
            <w:tcBorders>
              <w:bottom w:val="single" w:sz="4" w:space="0" w:color="auto"/>
            </w:tcBorders>
          </w:tcPr>
          <w:p w:rsidR="003D78D9" w:rsidRPr="003D78D9" w:rsidRDefault="00B51F60" w:rsidP="00D97831">
            <w:pPr>
              <w:rPr>
                <w:rFonts w:cs="Arial"/>
                <w:sz w:val="22"/>
                <w:szCs w:val="22"/>
              </w:rPr>
            </w:pPr>
            <w:r w:rsidRPr="003D78D9">
              <w:rPr>
                <w:rFonts w:cs="Arial"/>
                <w:sz w:val="22"/>
                <w:szCs w:val="22"/>
              </w:rPr>
              <w:t xml:space="preserve">The council's use of </w:t>
            </w:r>
            <w:r w:rsidRPr="003D78D9">
              <w:rPr>
                <w:rFonts w:cs="Arial"/>
                <w:color w:val="000000"/>
                <w:sz w:val="22"/>
                <w:szCs w:val="22"/>
              </w:rPr>
              <w:t xml:space="preserve">£39.35 million of </w:t>
            </w:r>
            <w:r w:rsidRPr="003D78D9">
              <w:rPr>
                <w:rFonts w:cs="Arial"/>
                <w:sz w:val="22"/>
                <w:szCs w:val="22"/>
              </w:rPr>
              <w:t xml:space="preserve">grant </w:t>
            </w:r>
            <w:r w:rsidRPr="003D78D9">
              <w:rPr>
                <w:rFonts w:cs="Arial"/>
                <w:color w:val="000000"/>
                <w:sz w:val="22"/>
                <w:szCs w:val="22"/>
              </w:rPr>
              <w:t xml:space="preserve">funding under the Local Growth Fund </w:t>
            </w:r>
            <w:r w:rsidRPr="003D78D9">
              <w:rPr>
                <w:rFonts w:cs="Arial"/>
                <w:sz w:val="22"/>
                <w:szCs w:val="22"/>
              </w:rPr>
              <w:t>has been certified as meeting the conditions of that funding.</w:t>
            </w:r>
          </w:p>
        </w:tc>
        <w:tc>
          <w:tcPr>
            <w:tcW w:w="1418" w:type="dxa"/>
            <w:tcBorders>
              <w:bottom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Not applicable</w:t>
            </w:r>
          </w:p>
        </w:tc>
      </w:tr>
      <w:tr w:rsidR="00950C6E" w:rsidTr="00B76139">
        <w:trPr>
          <w:trHeight w:val="300"/>
        </w:trPr>
        <w:tc>
          <w:tcPr>
            <w:tcW w:w="1843" w:type="dxa"/>
            <w:tcBorders>
              <w:top w:val="single" w:sz="4" w:space="0" w:color="auto"/>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Emergency planning</w:t>
            </w: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Adequacy of the plans in place to address emergencies and civil contingencies</w:t>
            </w:r>
          </w:p>
        </w:tc>
        <w:tc>
          <w:tcPr>
            <w:tcW w:w="3969" w:type="dxa"/>
            <w:tcBorders>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of the adequacy of emergency planning, including involvement of appropriate partners and adequacy of testing.</w:t>
            </w:r>
          </w:p>
        </w:tc>
        <w:tc>
          <w:tcPr>
            <w:tcW w:w="4394" w:type="dxa"/>
            <w:tcBorders>
              <w:bottom w:val="single" w:sz="4" w:space="0" w:color="auto"/>
            </w:tcBorders>
          </w:tcPr>
          <w:p w:rsidR="003D78D9" w:rsidRPr="003D068D" w:rsidRDefault="00B51F60" w:rsidP="00D97831">
            <w:pPr>
              <w:rPr>
                <w:rFonts w:cs="Arial"/>
                <w:sz w:val="22"/>
                <w:szCs w:val="22"/>
              </w:rPr>
            </w:pPr>
            <w:r w:rsidRPr="003D068D">
              <w:rPr>
                <w:rFonts w:cs="Arial"/>
                <w:sz w:val="22"/>
                <w:szCs w:val="22"/>
              </w:rPr>
              <w:t>There are good practices in place to ensure that emergency response plans are effective, viable, and up to date. There are also areas where action is still required to enhance compliance with the Civil Contingencies Act, but these areas have already been identified and action is being taken or is planned for 2017.</w:t>
            </w:r>
          </w:p>
        </w:tc>
        <w:tc>
          <w:tcPr>
            <w:tcW w:w="1418" w:type="dxa"/>
            <w:tcBorders>
              <w:bottom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Substantial</w:t>
            </w:r>
          </w:p>
        </w:tc>
      </w:tr>
      <w:tr w:rsidR="00950C6E" w:rsidTr="00B76139">
        <w:trPr>
          <w:trHeight w:val="300"/>
        </w:trPr>
        <w:tc>
          <w:tcPr>
            <w:tcW w:w="1843" w:type="dxa"/>
            <w:tcBorders>
              <w:top w:val="nil"/>
              <w:bottom w:val="nil"/>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Pension fund administration</w:t>
            </w:r>
          </w:p>
        </w:tc>
        <w:tc>
          <w:tcPr>
            <w:tcW w:w="2977" w:type="dxa"/>
            <w:tcBorders>
              <w:top w:val="nil"/>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Administration of the fund to serve its members</w:t>
            </w:r>
          </w:p>
        </w:tc>
        <w:tc>
          <w:tcPr>
            <w:tcW w:w="3969" w:type="dxa"/>
            <w:tcBorders>
              <w:top w:val="nil"/>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with annual compliance testing, whilst the council has no other source of assurance over this.</w:t>
            </w:r>
          </w:p>
        </w:tc>
        <w:tc>
          <w:tcPr>
            <w:tcW w:w="4394" w:type="dxa"/>
            <w:tcBorders>
              <w:top w:val="nil"/>
              <w:bottom w:val="single" w:sz="4" w:space="0" w:color="auto"/>
            </w:tcBorders>
          </w:tcPr>
          <w:p w:rsidR="003D78D9" w:rsidRPr="003D068D" w:rsidRDefault="00B51F60" w:rsidP="003D068D">
            <w:pPr>
              <w:rPr>
                <w:rFonts w:cs="Arial"/>
                <w:sz w:val="22"/>
                <w:szCs w:val="22"/>
              </w:rPr>
            </w:pPr>
            <w:r w:rsidRPr="003D068D">
              <w:rPr>
                <w:rFonts w:cs="Arial"/>
                <w:sz w:val="22"/>
                <w:szCs w:val="22"/>
              </w:rPr>
              <w:t>Control over the administration of the pension fund is good, and we found no major areas of concern.</w:t>
            </w:r>
          </w:p>
        </w:tc>
        <w:tc>
          <w:tcPr>
            <w:tcW w:w="1418" w:type="dxa"/>
            <w:tcBorders>
              <w:top w:val="nil"/>
              <w:bottom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Substantial</w:t>
            </w:r>
          </w:p>
        </w:tc>
      </w:tr>
      <w:tr w:rsidR="00950C6E" w:rsidTr="005472AE">
        <w:trPr>
          <w:trHeight w:val="300"/>
        </w:trPr>
        <w:tc>
          <w:tcPr>
            <w:tcW w:w="1843" w:type="dxa"/>
            <w:tcBorders>
              <w:top w:val="nil"/>
              <w:bottom w:val="nil"/>
            </w:tcBorders>
            <w:shd w:val="clear" w:color="auto" w:fill="auto"/>
            <w:noWrap/>
          </w:tcPr>
          <w:p w:rsidR="003D78D9" w:rsidRPr="003D78D9" w:rsidRDefault="00C6442D" w:rsidP="00D97831">
            <w:pPr>
              <w:rPr>
                <w:rFonts w:cs="Arial"/>
                <w:color w:val="000000"/>
                <w:sz w:val="22"/>
                <w:szCs w:val="22"/>
              </w:rPr>
            </w:pPr>
          </w:p>
        </w:tc>
        <w:tc>
          <w:tcPr>
            <w:tcW w:w="2977" w:type="dxa"/>
            <w:tcBorders>
              <w:top w:val="nil"/>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Accounting for the fund</w:t>
            </w:r>
          </w:p>
        </w:tc>
        <w:tc>
          <w:tcPr>
            <w:tcW w:w="3969" w:type="dxa"/>
            <w:tcBorders>
              <w:top w:val="nil"/>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with annual compliance testing, whilst the council has no other source of assurance over this.</w:t>
            </w:r>
          </w:p>
        </w:tc>
        <w:tc>
          <w:tcPr>
            <w:tcW w:w="4394" w:type="dxa"/>
            <w:tcBorders>
              <w:top w:val="single" w:sz="4" w:space="0" w:color="auto"/>
              <w:bottom w:val="single" w:sz="4" w:space="0" w:color="auto"/>
            </w:tcBorders>
          </w:tcPr>
          <w:p w:rsidR="003D78D9" w:rsidRPr="003D068D" w:rsidRDefault="00B51F60" w:rsidP="00D97831">
            <w:pPr>
              <w:rPr>
                <w:rFonts w:cs="Arial"/>
                <w:sz w:val="22"/>
                <w:szCs w:val="22"/>
              </w:rPr>
            </w:pPr>
            <w:r w:rsidRPr="003D068D">
              <w:rPr>
                <w:rFonts w:cs="Arial"/>
                <w:sz w:val="22"/>
                <w:szCs w:val="22"/>
              </w:rPr>
              <w:t>There are no significant issues in relation to accounting for the transactions of the Pension Fund, although officers retaining inappropriate access to the council's financial system is a common theme across a number of systems.</w:t>
            </w:r>
          </w:p>
        </w:tc>
        <w:tc>
          <w:tcPr>
            <w:tcW w:w="1418" w:type="dxa"/>
            <w:tcBorders>
              <w:top w:val="nil"/>
              <w:bottom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Substantial</w:t>
            </w:r>
          </w:p>
        </w:tc>
      </w:tr>
      <w:tr w:rsidR="00950C6E" w:rsidTr="005472AE">
        <w:trPr>
          <w:trHeight w:val="300"/>
        </w:trPr>
        <w:tc>
          <w:tcPr>
            <w:tcW w:w="1843" w:type="dxa"/>
            <w:tcBorders>
              <w:top w:val="nil"/>
              <w:bottom w:val="single" w:sz="4" w:space="0" w:color="auto"/>
            </w:tcBorders>
            <w:shd w:val="clear" w:color="auto" w:fill="auto"/>
            <w:noWrap/>
          </w:tcPr>
          <w:p w:rsidR="003D78D9" w:rsidRPr="003D78D9" w:rsidRDefault="00C6442D" w:rsidP="00D97831">
            <w:pPr>
              <w:rPr>
                <w:rFonts w:cs="Arial"/>
                <w:color w:val="000000"/>
                <w:sz w:val="22"/>
                <w:szCs w:val="22"/>
              </w:rPr>
            </w:pP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Fund investment management</w:t>
            </w:r>
          </w:p>
        </w:tc>
        <w:tc>
          <w:tcPr>
            <w:tcW w:w="3969" w:type="dxa"/>
            <w:tcBorders>
              <w:bottom w:val="single" w:sz="4" w:space="0" w:color="auto"/>
            </w:tcBorders>
            <w:shd w:val="clear" w:color="auto" w:fill="auto"/>
            <w:noWrap/>
          </w:tcPr>
          <w:p w:rsidR="003D78D9" w:rsidRPr="003D78D9" w:rsidRDefault="00B51F60" w:rsidP="002D7F0C">
            <w:pPr>
              <w:rPr>
                <w:rFonts w:cs="Arial"/>
                <w:color w:val="000000"/>
                <w:sz w:val="22"/>
                <w:szCs w:val="22"/>
              </w:rPr>
            </w:pPr>
            <w:r w:rsidRPr="003D78D9">
              <w:rPr>
                <w:rFonts w:cs="Arial"/>
                <w:color w:val="000000"/>
                <w:sz w:val="22"/>
                <w:szCs w:val="22"/>
              </w:rPr>
              <w:t>Assessment with management of the assurance framework and available assurance over the Fund's investments</w:t>
            </w:r>
            <w:r>
              <w:rPr>
                <w:rFonts w:cs="Arial"/>
                <w:color w:val="000000"/>
                <w:sz w:val="22"/>
                <w:szCs w:val="22"/>
              </w:rPr>
              <w:t>, including f</w:t>
            </w:r>
            <w:r w:rsidRPr="003D78D9">
              <w:rPr>
                <w:rFonts w:cs="Arial"/>
                <w:sz w:val="22"/>
                <w:szCs w:val="22"/>
              </w:rPr>
              <w:t>ollow-up of actions agreed in relation to monitoring the performance of the Pension Fund's investments.</w:t>
            </w:r>
          </w:p>
        </w:tc>
        <w:tc>
          <w:tcPr>
            <w:tcW w:w="4394" w:type="dxa"/>
            <w:tcBorders>
              <w:top w:val="single" w:sz="4" w:space="0" w:color="auto"/>
              <w:bottom w:val="single" w:sz="4" w:space="0" w:color="auto"/>
            </w:tcBorders>
          </w:tcPr>
          <w:p w:rsidR="003D78D9" w:rsidRPr="003D068D" w:rsidRDefault="00B51F60" w:rsidP="005F0263">
            <w:pPr>
              <w:rPr>
                <w:rFonts w:cs="Arial"/>
                <w:sz w:val="22"/>
                <w:szCs w:val="22"/>
              </w:rPr>
            </w:pPr>
            <w:r w:rsidRPr="003D068D">
              <w:rPr>
                <w:rFonts w:cs="Arial"/>
                <w:sz w:val="22"/>
                <w:szCs w:val="22"/>
              </w:rPr>
              <w:t>Management of the pension fund's investments is well controlled, and we found no significant areas of concern.</w:t>
            </w:r>
          </w:p>
        </w:tc>
        <w:tc>
          <w:tcPr>
            <w:tcW w:w="1418" w:type="dxa"/>
            <w:tcBorders>
              <w:bottom w:val="single" w:sz="4" w:space="0" w:color="auto"/>
            </w:tcBorders>
          </w:tcPr>
          <w:p w:rsidR="003D78D9" w:rsidRPr="003D78D9" w:rsidRDefault="00B51F60" w:rsidP="00D97831">
            <w:pPr>
              <w:rPr>
                <w:rFonts w:cs="Arial"/>
                <w:color w:val="000000"/>
                <w:sz w:val="22"/>
                <w:szCs w:val="22"/>
              </w:rPr>
            </w:pPr>
            <w:r>
              <w:rPr>
                <w:rFonts w:cs="Arial"/>
                <w:color w:val="000000"/>
                <w:sz w:val="22"/>
                <w:szCs w:val="22"/>
              </w:rPr>
              <w:t>Substantial</w:t>
            </w:r>
          </w:p>
        </w:tc>
      </w:tr>
      <w:tr w:rsidR="00950C6E" w:rsidTr="005472AE">
        <w:trPr>
          <w:trHeight w:val="300"/>
        </w:trPr>
        <w:tc>
          <w:tcPr>
            <w:tcW w:w="1843" w:type="dxa"/>
            <w:tcBorders>
              <w:top w:val="single" w:sz="4" w:space="0" w:color="auto"/>
              <w:left w:val="nil"/>
              <w:bottom w:val="nil"/>
              <w:right w:val="nil"/>
            </w:tcBorders>
            <w:shd w:val="clear" w:color="auto" w:fill="auto"/>
            <w:noWrap/>
          </w:tcPr>
          <w:p w:rsidR="005472AE" w:rsidRPr="003D78D9" w:rsidRDefault="00C6442D" w:rsidP="00D97831">
            <w:pPr>
              <w:rPr>
                <w:rFonts w:cs="Arial"/>
                <w:color w:val="000000"/>
                <w:sz w:val="22"/>
                <w:szCs w:val="22"/>
              </w:rPr>
            </w:pPr>
          </w:p>
        </w:tc>
        <w:tc>
          <w:tcPr>
            <w:tcW w:w="2977" w:type="dxa"/>
            <w:tcBorders>
              <w:left w:val="nil"/>
              <w:bottom w:val="nil"/>
              <w:right w:val="nil"/>
            </w:tcBorders>
          </w:tcPr>
          <w:p w:rsidR="005472AE" w:rsidRPr="003D78D9" w:rsidRDefault="00C6442D" w:rsidP="00E724AD">
            <w:pPr>
              <w:rPr>
                <w:rFonts w:cs="Arial"/>
                <w:color w:val="000000"/>
                <w:sz w:val="22"/>
                <w:szCs w:val="22"/>
              </w:rPr>
            </w:pPr>
          </w:p>
        </w:tc>
        <w:tc>
          <w:tcPr>
            <w:tcW w:w="3969" w:type="dxa"/>
            <w:tcBorders>
              <w:left w:val="nil"/>
              <w:bottom w:val="nil"/>
              <w:right w:val="nil"/>
            </w:tcBorders>
            <w:shd w:val="clear" w:color="auto" w:fill="auto"/>
            <w:noWrap/>
          </w:tcPr>
          <w:p w:rsidR="005472AE" w:rsidRPr="003D78D9" w:rsidRDefault="00C6442D" w:rsidP="002D7F0C">
            <w:pPr>
              <w:rPr>
                <w:rFonts w:cs="Arial"/>
                <w:color w:val="000000"/>
                <w:sz w:val="22"/>
                <w:szCs w:val="22"/>
              </w:rPr>
            </w:pPr>
          </w:p>
        </w:tc>
        <w:tc>
          <w:tcPr>
            <w:tcW w:w="4394" w:type="dxa"/>
            <w:tcBorders>
              <w:top w:val="single" w:sz="4" w:space="0" w:color="auto"/>
              <w:left w:val="nil"/>
              <w:bottom w:val="nil"/>
              <w:right w:val="nil"/>
            </w:tcBorders>
          </w:tcPr>
          <w:p w:rsidR="005472AE" w:rsidRDefault="00C6442D" w:rsidP="005F0263">
            <w:pPr>
              <w:rPr>
                <w:rFonts w:cs="Arial"/>
                <w:color w:val="4F81BD" w:themeColor="accent1"/>
                <w:sz w:val="22"/>
                <w:szCs w:val="22"/>
              </w:rPr>
            </w:pPr>
          </w:p>
        </w:tc>
        <w:tc>
          <w:tcPr>
            <w:tcW w:w="1418" w:type="dxa"/>
            <w:tcBorders>
              <w:left w:val="nil"/>
              <w:bottom w:val="nil"/>
              <w:right w:val="nil"/>
            </w:tcBorders>
          </w:tcPr>
          <w:p w:rsidR="005472AE" w:rsidRDefault="00C6442D" w:rsidP="00D97831">
            <w:pPr>
              <w:rPr>
                <w:rFonts w:cs="Arial"/>
                <w:color w:val="000000"/>
                <w:sz w:val="22"/>
                <w:szCs w:val="22"/>
              </w:rPr>
            </w:pPr>
          </w:p>
        </w:tc>
      </w:tr>
      <w:tr w:rsidR="00950C6E" w:rsidTr="005472AE">
        <w:trPr>
          <w:trHeight w:val="315"/>
        </w:trPr>
        <w:tc>
          <w:tcPr>
            <w:tcW w:w="4820" w:type="dxa"/>
            <w:gridSpan w:val="2"/>
            <w:tcBorders>
              <w:top w:val="nil"/>
              <w:bottom w:val="single" w:sz="4" w:space="0" w:color="auto"/>
              <w:right w:val="nil"/>
            </w:tcBorders>
            <w:shd w:val="clear" w:color="auto" w:fill="F2F2F2" w:themeFill="background1" w:themeFillShade="F2"/>
            <w:noWrap/>
            <w:hideMark/>
          </w:tcPr>
          <w:p w:rsidR="00BB1415" w:rsidRPr="003D78D9" w:rsidRDefault="00B51F60" w:rsidP="00D97831">
            <w:pPr>
              <w:rPr>
                <w:rFonts w:cs="Arial"/>
                <w:color w:val="000000"/>
                <w:sz w:val="22"/>
                <w:szCs w:val="22"/>
              </w:rPr>
            </w:pPr>
            <w:r w:rsidRPr="003D78D9">
              <w:rPr>
                <w:rFonts w:cs="Arial"/>
                <w:b/>
                <w:bCs/>
                <w:color w:val="000000"/>
                <w:sz w:val="22"/>
                <w:szCs w:val="22"/>
              </w:rPr>
              <w:lastRenderedPageBreak/>
              <w:t>Service support</w:t>
            </w:r>
          </w:p>
        </w:tc>
        <w:tc>
          <w:tcPr>
            <w:tcW w:w="3969" w:type="dxa"/>
            <w:tcBorders>
              <w:top w:val="nil"/>
              <w:left w:val="nil"/>
              <w:bottom w:val="single" w:sz="4" w:space="0" w:color="auto"/>
              <w:right w:val="nil"/>
            </w:tcBorders>
            <w:shd w:val="clear" w:color="auto" w:fill="F2F2F2" w:themeFill="background1" w:themeFillShade="F2"/>
            <w:noWrap/>
            <w:hideMark/>
          </w:tcPr>
          <w:p w:rsidR="00BB1415" w:rsidRPr="003D78D9" w:rsidRDefault="00C6442D" w:rsidP="00D97831">
            <w:pPr>
              <w:rPr>
                <w:rFonts w:cs="Arial"/>
                <w:color w:val="000000"/>
                <w:sz w:val="22"/>
                <w:szCs w:val="22"/>
              </w:rPr>
            </w:pPr>
          </w:p>
        </w:tc>
        <w:tc>
          <w:tcPr>
            <w:tcW w:w="4394" w:type="dxa"/>
            <w:tcBorders>
              <w:top w:val="nil"/>
              <w:left w:val="nil"/>
              <w:bottom w:val="single" w:sz="4" w:space="0" w:color="auto"/>
              <w:right w:val="nil"/>
            </w:tcBorders>
            <w:shd w:val="clear" w:color="auto" w:fill="F2F2F2" w:themeFill="background1" w:themeFillShade="F2"/>
          </w:tcPr>
          <w:p w:rsidR="00BB1415" w:rsidRPr="003D78D9" w:rsidRDefault="00C6442D" w:rsidP="00D97831">
            <w:pPr>
              <w:rPr>
                <w:rFonts w:cs="Arial"/>
                <w:sz w:val="22"/>
                <w:szCs w:val="22"/>
              </w:rPr>
            </w:pPr>
          </w:p>
        </w:tc>
        <w:tc>
          <w:tcPr>
            <w:tcW w:w="1418" w:type="dxa"/>
            <w:tcBorders>
              <w:top w:val="nil"/>
              <w:left w:val="nil"/>
              <w:bottom w:val="single" w:sz="4" w:space="0" w:color="auto"/>
              <w:right w:val="single" w:sz="4" w:space="0" w:color="auto"/>
            </w:tcBorders>
            <w:shd w:val="clear" w:color="auto" w:fill="F2F2F2" w:themeFill="background1" w:themeFillShade="F2"/>
          </w:tcPr>
          <w:p w:rsidR="00BB1415" w:rsidRPr="003D78D9" w:rsidRDefault="00C6442D" w:rsidP="00D97831">
            <w:pPr>
              <w:rPr>
                <w:rFonts w:cs="Arial"/>
                <w:color w:val="000000"/>
                <w:sz w:val="22"/>
                <w:szCs w:val="22"/>
              </w:rPr>
            </w:pPr>
          </w:p>
        </w:tc>
      </w:tr>
      <w:tr w:rsidR="00950C6E" w:rsidTr="006612D8">
        <w:trPr>
          <w:trHeight w:val="300"/>
        </w:trPr>
        <w:tc>
          <w:tcPr>
            <w:tcW w:w="1843" w:type="dxa"/>
            <w:tcBorders>
              <w:top w:val="nil"/>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Business systems</w:t>
            </w: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Monitoring of the contract with BTLS</w:t>
            </w:r>
          </w:p>
        </w:tc>
        <w:tc>
          <w:tcPr>
            <w:tcW w:w="3969" w:type="dxa"/>
            <w:tcBorders>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of contract monitoring, with compliance testing.</w:t>
            </w:r>
          </w:p>
        </w:tc>
        <w:tc>
          <w:tcPr>
            <w:tcW w:w="4394" w:type="dxa"/>
            <w:tcBorders>
              <w:bottom w:val="single" w:sz="4" w:space="0" w:color="auto"/>
            </w:tcBorders>
          </w:tcPr>
          <w:p w:rsidR="003D78D9" w:rsidRPr="003D78D9" w:rsidRDefault="00B51F60" w:rsidP="00D97831">
            <w:pPr>
              <w:rPr>
                <w:rFonts w:cs="Arial"/>
                <w:sz w:val="22"/>
                <w:szCs w:val="22"/>
              </w:rPr>
            </w:pPr>
            <w:r w:rsidRPr="003D78D9">
              <w:rPr>
                <w:rFonts w:cs="Arial"/>
                <w:sz w:val="22"/>
                <w:szCs w:val="22"/>
              </w:rPr>
              <w:t>Monitoring of the contract within the council is effective.</w:t>
            </w:r>
          </w:p>
        </w:tc>
        <w:tc>
          <w:tcPr>
            <w:tcW w:w="1418" w:type="dxa"/>
            <w:tcBorders>
              <w:bottom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Substantial</w:t>
            </w:r>
          </w:p>
        </w:tc>
      </w:tr>
      <w:tr w:rsidR="00950C6E" w:rsidTr="006612D8">
        <w:trPr>
          <w:trHeight w:val="315"/>
        </w:trPr>
        <w:tc>
          <w:tcPr>
            <w:tcW w:w="4820" w:type="dxa"/>
            <w:gridSpan w:val="2"/>
            <w:tcBorders>
              <w:right w:val="nil"/>
            </w:tcBorders>
            <w:shd w:val="clear" w:color="auto" w:fill="F2F2F2" w:themeFill="background1" w:themeFillShade="F2"/>
            <w:noWrap/>
            <w:hideMark/>
          </w:tcPr>
          <w:p w:rsidR="003D78D9" w:rsidRPr="003D78D9" w:rsidRDefault="00B51F60" w:rsidP="00D97831">
            <w:pPr>
              <w:rPr>
                <w:rFonts w:cs="Arial"/>
                <w:b/>
                <w:bCs/>
                <w:color w:val="000000"/>
                <w:sz w:val="22"/>
                <w:szCs w:val="22"/>
              </w:rPr>
            </w:pPr>
            <w:r w:rsidRPr="003D78D9">
              <w:rPr>
                <w:rFonts w:cs="Arial"/>
                <w:b/>
                <w:color w:val="000000"/>
                <w:sz w:val="22"/>
                <w:szCs w:val="22"/>
              </w:rPr>
              <w:t>Business processes</w:t>
            </w:r>
          </w:p>
        </w:tc>
        <w:tc>
          <w:tcPr>
            <w:tcW w:w="3969" w:type="dxa"/>
            <w:tcBorders>
              <w:left w:val="nil"/>
              <w:right w:val="nil"/>
            </w:tcBorders>
            <w:shd w:val="clear" w:color="auto" w:fill="F2F2F2" w:themeFill="background1" w:themeFillShade="F2"/>
            <w:noWrap/>
            <w:hideMark/>
          </w:tcPr>
          <w:p w:rsidR="003D78D9" w:rsidRPr="003D78D9" w:rsidRDefault="00C6442D" w:rsidP="00D97831">
            <w:pPr>
              <w:rPr>
                <w:rFonts w:cs="Arial"/>
                <w:b/>
                <w:bCs/>
                <w:color w:val="000000"/>
                <w:sz w:val="22"/>
                <w:szCs w:val="22"/>
              </w:rPr>
            </w:pPr>
          </w:p>
        </w:tc>
        <w:tc>
          <w:tcPr>
            <w:tcW w:w="4394" w:type="dxa"/>
            <w:tcBorders>
              <w:left w:val="nil"/>
              <w:right w:val="nil"/>
            </w:tcBorders>
            <w:shd w:val="clear" w:color="auto" w:fill="F2F2F2" w:themeFill="background1" w:themeFillShade="F2"/>
          </w:tcPr>
          <w:p w:rsidR="003D78D9" w:rsidRPr="003D78D9" w:rsidRDefault="00C6442D" w:rsidP="00D97831">
            <w:pPr>
              <w:rPr>
                <w:rFonts w:cs="Arial"/>
                <w:b/>
                <w:bCs/>
                <w:color w:val="000000"/>
                <w:sz w:val="22"/>
                <w:szCs w:val="22"/>
              </w:rPr>
            </w:pPr>
          </w:p>
        </w:tc>
        <w:tc>
          <w:tcPr>
            <w:tcW w:w="1418" w:type="dxa"/>
            <w:tcBorders>
              <w:left w:val="nil"/>
              <w:right w:val="single" w:sz="4" w:space="0" w:color="auto"/>
            </w:tcBorders>
            <w:shd w:val="clear" w:color="auto" w:fill="F2F2F2" w:themeFill="background1" w:themeFillShade="F2"/>
          </w:tcPr>
          <w:p w:rsidR="003D78D9" w:rsidRPr="003D78D9" w:rsidRDefault="00C6442D" w:rsidP="00D97831">
            <w:pPr>
              <w:rPr>
                <w:rFonts w:cs="Arial"/>
                <w:b/>
                <w:bCs/>
                <w:color w:val="000000"/>
                <w:sz w:val="22"/>
                <w:szCs w:val="22"/>
              </w:rPr>
            </w:pPr>
          </w:p>
        </w:tc>
      </w:tr>
      <w:tr w:rsidR="00950C6E" w:rsidTr="005472AE">
        <w:trPr>
          <w:trHeight w:val="300"/>
        </w:trPr>
        <w:tc>
          <w:tcPr>
            <w:tcW w:w="1843" w:type="dxa"/>
            <w:tcBorders>
              <w:bottom w:val="nil"/>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Financial processes</w:t>
            </w:r>
          </w:p>
        </w:tc>
        <w:tc>
          <w:tcPr>
            <w:tcW w:w="2977" w:type="dxa"/>
          </w:tcPr>
          <w:p w:rsidR="003D78D9" w:rsidRPr="003D78D9" w:rsidRDefault="00B51F60" w:rsidP="00E724AD">
            <w:pPr>
              <w:rPr>
                <w:rFonts w:cs="Arial"/>
                <w:color w:val="000000"/>
                <w:sz w:val="22"/>
                <w:szCs w:val="22"/>
              </w:rPr>
            </w:pPr>
            <w:r w:rsidRPr="003D78D9">
              <w:rPr>
                <w:rFonts w:cs="Arial"/>
                <w:color w:val="000000"/>
                <w:sz w:val="22"/>
                <w:szCs w:val="22"/>
              </w:rPr>
              <w:t>Treasury management</w:t>
            </w:r>
            <w:r>
              <w:rPr>
                <w:rFonts w:cs="Arial"/>
                <w:color w:val="000000"/>
                <w:sz w:val="22"/>
                <w:szCs w:val="22"/>
              </w:rPr>
              <w:t xml:space="preserve"> and investment</w:t>
            </w:r>
          </w:p>
        </w:tc>
        <w:tc>
          <w:tcPr>
            <w:tcW w:w="3969" w:type="dxa"/>
            <w:shd w:val="clear" w:color="auto" w:fill="auto"/>
            <w:noWrap/>
          </w:tcPr>
          <w:p w:rsidR="003D78D9" w:rsidRPr="003D068D" w:rsidRDefault="00B51F60" w:rsidP="00D97831">
            <w:pPr>
              <w:rPr>
                <w:rFonts w:cs="Arial"/>
                <w:sz w:val="22"/>
                <w:szCs w:val="22"/>
              </w:rPr>
            </w:pPr>
            <w:r w:rsidRPr="003D068D">
              <w:rPr>
                <w:rFonts w:cs="Arial"/>
                <w:sz w:val="22"/>
                <w:szCs w:val="22"/>
              </w:rPr>
              <w:t>Risk and control evaluation of the controls in place, with annual compliance testing.</w:t>
            </w:r>
          </w:p>
        </w:tc>
        <w:tc>
          <w:tcPr>
            <w:tcW w:w="4394" w:type="dxa"/>
            <w:tcBorders>
              <w:bottom w:val="single" w:sz="4" w:space="0" w:color="auto"/>
            </w:tcBorders>
          </w:tcPr>
          <w:p w:rsidR="003D78D9" w:rsidRPr="003D068D" w:rsidRDefault="00B51F60" w:rsidP="00D93B4D">
            <w:pPr>
              <w:rPr>
                <w:rFonts w:cs="Arial"/>
                <w:sz w:val="22"/>
                <w:szCs w:val="22"/>
              </w:rPr>
            </w:pPr>
            <w:r w:rsidRPr="003D068D">
              <w:rPr>
                <w:rFonts w:cs="Arial"/>
                <w:sz w:val="22"/>
                <w:szCs w:val="22"/>
              </w:rPr>
              <w:t>The Council approves a treasury management strategy annually that adopts the prudential code for capital finance in local authorities and the relevant code of practice. The investments we sampled were fully compliant with this strategy.</w:t>
            </w:r>
          </w:p>
        </w:tc>
        <w:tc>
          <w:tcPr>
            <w:tcW w:w="1418" w:type="dxa"/>
            <w:tcBorders>
              <w:bottom w:val="single" w:sz="4" w:space="0" w:color="auto"/>
            </w:tcBorders>
          </w:tcPr>
          <w:p w:rsidR="003D78D9" w:rsidRPr="003D068D" w:rsidRDefault="00B51F60" w:rsidP="00D97831">
            <w:pPr>
              <w:rPr>
                <w:rFonts w:cs="Arial"/>
                <w:sz w:val="22"/>
                <w:szCs w:val="22"/>
              </w:rPr>
            </w:pPr>
            <w:r w:rsidRPr="003D068D">
              <w:rPr>
                <w:rFonts w:cs="Arial"/>
                <w:sz w:val="22"/>
                <w:szCs w:val="22"/>
              </w:rPr>
              <w:t>Full</w:t>
            </w:r>
          </w:p>
        </w:tc>
      </w:tr>
      <w:tr w:rsidR="00950C6E" w:rsidTr="005472AE">
        <w:trPr>
          <w:trHeight w:val="300"/>
        </w:trPr>
        <w:tc>
          <w:tcPr>
            <w:tcW w:w="1843" w:type="dxa"/>
            <w:tcBorders>
              <w:top w:val="nil"/>
              <w:bottom w:val="nil"/>
            </w:tcBorders>
            <w:shd w:val="clear" w:color="auto" w:fill="auto"/>
            <w:noWrap/>
          </w:tcPr>
          <w:p w:rsidR="003D78D9" w:rsidRPr="003D78D9" w:rsidRDefault="00C6442D" w:rsidP="00D97831">
            <w:pPr>
              <w:rPr>
                <w:rFonts w:cs="Arial"/>
                <w:color w:val="000000"/>
                <w:sz w:val="22"/>
                <w:szCs w:val="22"/>
              </w:rPr>
            </w:pPr>
          </w:p>
        </w:tc>
        <w:tc>
          <w:tcPr>
            <w:tcW w:w="2977" w:type="dxa"/>
          </w:tcPr>
          <w:p w:rsidR="003D78D9" w:rsidRPr="003D78D9" w:rsidRDefault="00B51F60" w:rsidP="00E724AD">
            <w:pPr>
              <w:rPr>
                <w:rFonts w:cs="Arial"/>
                <w:color w:val="000000"/>
                <w:sz w:val="22"/>
                <w:szCs w:val="22"/>
              </w:rPr>
            </w:pPr>
            <w:r w:rsidRPr="003D78D9">
              <w:rPr>
                <w:rFonts w:cs="Arial"/>
                <w:color w:val="000000"/>
                <w:sz w:val="22"/>
                <w:szCs w:val="22"/>
              </w:rPr>
              <w:t>Oracle general ledger</w:t>
            </w:r>
          </w:p>
        </w:tc>
        <w:tc>
          <w:tcPr>
            <w:tcW w:w="3969" w:type="dxa"/>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of the controls in place, with annual compliance testing.</w:t>
            </w:r>
          </w:p>
        </w:tc>
        <w:tc>
          <w:tcPr>
            <w:tcW w:w="4394" w:type="dxa"/>
            <w:tcBorders>
              <w:bottom w:val="single" w:sz="4" w:space="0" w:color="auto"/>
            </w:tcBorders>
          </w:tcPr>
          <w:p w:rsidR="003D78D9" w:rsidRPr="003D78D9" w:rsidRDefault="00B51F60" w:rsidP="00D97831">
            <w:pPr>
              <w:rPr>
                <w:rFonts w:cs="Arial"/>
                <w:sz w:val="22"/>
                <w:szCs w:val="22"/>
              </w:rPr>
            </w:pPr>
            <w:r w:rsidRPr="003D78D9">
              <w:rPr>
                <w:rFonts w:cs="Arial"/>
                <w:sz w:val="22"/>
                <w:szCs w:val="22"/>
              </w:rPr>
              <w:t>We found no issues other than officers retaining inappropriate access to the system.</w:t>
            </w:r>
          </w:p>
        </w:tc>
        <w:tc>
          <w:tcPr>
            <w:tcW w:w="1418" w:type="dxa"/>
            <w:tcBorders>
              <w:bottom w:val="single" w:sz="4" w:space="0" w:color="auto"/>
            </w:tcBorders>
          </w:tcPr>
          <w:p w:rsidR="003D78D9" w:rsidRPr="003D78D9" w:rsidRDefault="00B51F60" w:rsidP="00D97831">
            <w:pPr>
              <w:rPr>
                <w:rFonts w:cs="Arial"/>
                <w:sz w:val="22"/>
                <w:szCs w:val="22"/>
              </w:rPr>
            </w:pPr>
            <w:r w:rsidRPr="003D78D9">
              <w:rPr>
                <w:rFonts w:cs="Arial"/>
                <w:sz w:val="22"/>
                <w:szCs w:val="22"/>
              </w:rPr>
              <w:t>Substantial</w:t>
            </w:r>
          </w:p>
        </w:tc>
      </w:tr>
      <w:tr w:rsidR="00950C6E" w:rsidTr="005472AE">
        <w:trPr>
          <w:trHeight w:val="300"/>
        </w:trPr>
        <w:tc>
          <w:tcPr>
            <w:tcW w:w="1843" w:type="dxa"/>
            <w:tcBorders>
              <w:top w:val="nil"/>
              <w:bottom w:val="nil"/>
            </w:tcBorders>
            <w:shd w:val="clear" w:color="auto" w:fill="auto"/>
            <w:noWrap/>
          </w:tcPr>
          <w:p w:rsidR="003D78D9" w:rsidRPr="003D78D9" w:rsidRDefault="00C6442D" w:rsidP="00D97831">
            <w:pPr>
              <w:rPr>
                <w:rFonts w:cs="Arial"/>
                <w:color w:val="000000"/>
                <w:sz w:val="22"/>
                <w:szCs w:val="22"/>
              </w:rPr>
            </w:pPr>
          </w:p>
        </w:tc>
        <w:tc>
          <w:tcPr>
            <w:tcW w:w="2977" w:type="dxa"/>
          </w:tcPr>
          <w:p w:rsidR="003D78D9" w:rsidRPr="003D78D9" w:rsidRDefault="00B51F60" w:rsidP="00E724AD">
            <w:pPr>
              <w:rPr>
                <w:rFonts w:cs="Arial"/>
                <w:color w:val="000000"/>
                <w:sz w:val="22"/>
                <w:szCs w:val="22"/>
              </w:rPr>
            </w:pPr>
            <w:r w:rsidRPr="003D78D9">
              <w:rPr>
                <w:rFonts w:cs="Arial"/>
                <w:color w:val="000000"/>
                <w:sz w:val="22"/>
                <w:szCs w:val="22"/>
              </w:rPr>
              <w:t>Accounts receivable and debt management: central controls</w:t>
            </w:r>
          </w:p>
        </w:tc>
        <w:tc>
          <w:tcPr>
            <w:tcW w:w="3969" w:type="dxa"/>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of the controls in place, with annual compliance testing.</w:t>
            </w:r>
          </w:p>
        </w:tc>
        <w:tc>
          <w:tcPr>
            <w:tcW w:w="4394" w:type="dxa"/>
            <w:tcBorders>
              <w:bottom w:val="single" w:sz="4" w:space="0" w:color="auto"/>
            </w:tcBorders>
          </w:tcPr>
          <w:p w:rsidR="003D78D9" w:rsidRPr="003D78D9" w:rsidRDefault="00B51F60" w:rsidP="005472AE">
            <w:pPr>
              <w:rPr>
                <w:rFonts w:cs="Arial"/>
                <w:sz w:val="22"/>
                <w:szCs w:val="22"/>
              </w:rPr>
            </w:pPr>
            <w:r>
              <w:rPr>
                <w:rFonts w:cs="Arial"/>
                <w:color w:val="000000"/>
                <w:sz w:val="22"/>
                <w:szCs w:val="22"/>
              </w:rPr>
              <w:t>S</w:t>
            </w:r>
            <w:r w:rsidRPr="003D78D9">
              <w:rPr>
                <w:rFonts w:cs="Arial"/>
                <w:color w:val="000000"/>
                <w:sz w:val="22"/>
                <w:szCs w:val="22"/>
              </w:rPr>
              <w:t xml:space="preserve">ince the </w:t>
            </w:r>
            <w:r>
              <w:rPr>
                <w:rFonts w:cs="Arial"/>
                <w:color w:val="000000"/>
                <w:sz w:val="22"/>
                <w:szCs w:val="22"/>
              </w:rPr>
              <w:t xml:space="preserve">remedial </w:t>
            </w:r>
            <w:r w:rsidRPr="003D78D9">
              <w:rPr>
                <w:rFonts w:cs="Arial"/>
                <w:sz w:val="22"/>
                <w:szCs w:val="22"/>
              </w:rPr>
              <w:t>action agreed by the Finance Team was scheduled to be implemented during 2016/17 we have not undertaken any further work (including follow-up of the agreed actions).</w:t>
            </w:r>
          </w:p>
        </w:tc>
        <w:tc>
          <w:tcPr>
            <w:tcW w:w="1418" w:type="dxa"/>
            <w:tcBorders>
              <w:bottom w:val="single" w:sz="4" w:space="0" w:color="auto"/>
            </w:tcBorders>
          </w:tcPr>
          <w:p w:rsidR="003D78D9" w:rsidRPr="003D78D9" w:rsidRDefault="00B51F60" w:rsidP="00D97831">
            <w:pPr>
              <w:rPr>
                <w:rFonts w:cs="Arial"/>
                <w:sz w:val="22"/>
                <w:szCs w:val="22"/>
              </w:rPr>
            </w:pPr>
            <w:r w:rsidRPr="003D78D9">
              <w:rPr>
                <w:rFonts w:cs="Arial"/>
                <w:sz w:val="22"/>
                <w:szCs w:val="22"/>
              </w:rPr>
              <w:t>Limited</w:t>
            </w:r>
          </w:p>
        </w:tc>
      </w:tr>
      <w:tr w:rsidR="00950C6E" w:rsidTr="005472AE">
        <w:trPr>
          <w:trHeight w:val="300"/>
        </w:trPr>
        <w:tc>
          <w:tcPr>
            <w:tcW w:w="1843" w:type="dxa"/>
            <w:tcBorders>
              <w:top w:val="nil"/>
              <w:bottom w:val="single" w:sz="4" w:space="0" w:color="auto"/>
            </w:tcBorders>
            <w:shd w:val="clear" w:color="auto" w:fill="auto"/>
            <w:noWrap/>
          </w:tcPr>
          <w:p w:rsidR="003D78D9" w:rsidRPr="003D78D9" w:rsidRDefault="00C6442D" w:rsidP="00D97831">
            <w:pPr>
              <w:rPr>
                <w:rFonts w:cs="Arial"/>
                <w:color w:val="000000"/>
                <w:sz w:val="22"/>
                <w:szCs w:val="22"/>
              </w:rPr>
            </w:pP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Accounts receivable and debt management: feeder system controls</w:t>
            </w:r>
          </w:p>
        </w:tc>
        <w:tc>
          <w:tcPr>
            <w:tcW w:w="3969" w:type="dxa"/>
            <w:tcBorders>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of the controls in place, with annual compliance testing of a sample of feeder systems.</w:t>
            </w:r>
          </w:p>
        </w:tc>
        <w:tc>
          <w:tcPr>
            <w:tcW w:w="4394" w:type="dxa"/>
            <w:tcBorders>
              <w:top w:val="single" w:sz="4" w:space="0" w:color="auto"/>
              <w:bottom w:val="single" w:sz="4" w:space="0" w:color="auto"/>
            </w:tcBorders>
          </w:tcPr>
          <w:p w:rsidR="003D78D9" w:rsidRPr="003D78D9" w:rsidRDefault="00B51F60" w:rsidP="003D068D">
            <w:pPr>
              <w:rPr>
                <w:rFonts w:cs="Arial"/>
                <w:color w:val="000000"/>
                <w:sz w:val="22"/>
                <w:szCs w:val="22"/>
              </w:rPr>
            </w:pPr>
            <w:r w:rsidRPr="003D78D9">
              <w:rPr>
                <w:rFonts w:cs="Arial"/>
                <w:color w:val="000000"/>
                <w:sz w:val="22"/>
                <w:szCs w:val="22"/>
              </w:rPr>
              <w:t xml:space="preserve">The work above on the central controls supporting the accounts </w:t>
            </w:r>
            <w:r w:rsidRPr="003D78D9">
              <w:rPr>
                <w:rFonts w:cs="Arial"/>
                <w:sz w:val="22"/>
                <w:szCs w:val="22"/>
              </w:rPr>
              <w:t xml:space="preserve">receivable system and debt management also addressed the main feeder system, </w:t>
            </w:r>
            <w:proofErr w:type="spellStart"/>
            <w:r w:rsidRPr="003D78D9">
              <w:rPr>
                <w:rFonts w:cs="Arial"/>
                <w:sz w:val="22"/>
                <w:szCs w:val="22"/>
              </w:rPr>
              <w:t>Controcc</w:t>
            </w:r>
            <w:proofErr w:type="spellEnd"/>
            <w:r w:rsidRPr="003D78D9">
              <w:rPr>
                <w:rFonts w:cs="Arial"/>
                <w:sz w:val="22"/>
                <w:szCs w:val="22"/>
              </w:rPr>
              <w:t xml:space="preserve">, which supports adult social care. Testing also incorporated samples from the </w:t>
            </w:r>
            <w:proofErr w:type="spellStart"/>
            <w:r w:rsidRPr="003D78D9">
              <w:rPr>
                <w:rFonts w:cs="Arial"/>
                <w:sz w:val="22"/>
                <w:szCs w:val="22"/>
              </w:rPr>
              <w:t>Symology</w:t>
            </w:r>
            <w:proofErr w:type="spellEnd"/>
            <w:r w:rsidRPr="003D78D9">
              <w:rPr>
                <w:rFonts w:cs="Arial"/>
                <w:sz w:val="22"/>
                <w:szCs w:val="22"/>
              </w:rPr>
              <w:t>, CART and MICE systems and the local arrangements within the services that use them (highways assets, transport and street lighting).</w:t>
            </w:r>
          </w:p>
        </w:tc>
        <w:tc>
          <w:tcPr>
            <w:tcW w:w="1418" w:type="dxa"/>
            <w:tcBorders>
              <w:top w:val="single" w:sz="4" w:space="0" w:color="auto"/>
              <w:bottom w:val="single" w:sz="4" w:space="0" w:color="auto"/>
            </w:tcBorders>
          </w:tcPr>
          <w:p w:rsidR="003D78D9" w:rsidRPr="003D78D9" w:rsidRDefault="00B51F60" w:rsidP="002D7F0C">
            <w:pPr>
              <w:rPr>
                <w:rFonts w:cs="Arial"/>
                <w:color w:val="000000"/>
                <w:sz w:val="22"/>
                <w:szCs w:val="22"/>
              </w:rPr>
            </w:pPr>
            <w:r>
              <w:rPr>
                <w:rFonts w:cs="Arial"/>
                <w:color w:val="000000"/>
                <w:sz w:val="22"/>
                <w:szCs w:val="22"/>
              </w:rPr>
              <w:t>Not applicable</w:t>
            </w:r>
          </w:p>
        </w:tc>
      </w:tr>
      <w:tr w:rsidR="00950C6E" w:rsidTr="005472AE">
        <w:trPr>
          <w:trHeight w:val="300"/>
        </w:trPr>
        <w:tc>
          <w:tcPr>
            <w:tcW w:w="1843" w:type="dxa"/>
            <w:tcBorders>
              <w:top w:val="single" w:sz="4" w:space="0" w:color="auto"/>
              <w:bottom w:val="nil"/>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lastRenderedPageBreak/>
              <w:t>Financial processes</w:t>
            </w:r>
            <w:r>
              <w:rPr>
                <w:rFonts w:cs="Arial"/>
                <w:color w:val="000000"/>
                <w:sz w:val="22"/>
                <w:szCs w:val="22"/>
              </w:rPr>
              <w:t xml:space="preserve"> continued</w:t>
            </w:r>
          </w:p>
        </w:tc>
        <w:tc>
          <w:tcPr>
            <w:tcW w:w="2977" w:type="dxa"/>
            <w:tcBorders>
              <w:top w:val="nil"/>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Cash and banking: central controls including checks over completeness and compliance in other locations</w:t>
            </w:r>
          </w:p>
        </w:tc>
        <w:tc>
          <w:tcPr>
            <w:tcW w:w="3969" w:type="dxa"/>
            <w:tcBorders>
              <w:top w:val="nil"/>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of the controls in place, with annual compliance testing.</w:t>
            </w:r>
          </w:p>
        </w:tc>
        <w:tc>
          <w:tcPr>
            <w:tcW w:w="4394" w:type="dxa"/>
            <w:tcBorders>
              <w:top w:val="nil"/>
              <w:bottom w:val="single" w:sz="4" w:space="0" w:color="auto"/>
            </w:tcBorders>
          </w:tcPr>
          <w:p w:rsidR="003D78D9" w:rsidRPr="003D78D9" w:rsidRDefault="00B51F60" w:rsidP="00B76139">
            <w:pPr>
              <w:rPr>
                <w:rFonts w:cs="Arial"/>
                <w:sz w:val="22"/>
                <w:szCs w:val="22"/>
              </w:rPr>
            </w:pPr>
            <w:r w:rsidRPr="003D78D9">
              <w:rPr>
                <w:rFonts w:cs="Arial"/>
                <w:sz w:val="22"/>
                <w:szCs w:val="22"/>
              </w:rPr>
              <w:t>The income identification and allocation process is effective and has been improved by greater automation in recent years.</w:t>
            </w:r>
            <w:r>
              <w:rPr>
                <w:rFonts w:cs="Arial"/>
                <w:sz w:val="22"/>
                <w:szCs w:val="22"/>
              </w:rPr>
              <w:t xml:space="preserve"> </w:t>
            </w:r>
            <w:r w:rsidRPr="003D78D9">
              <w:rPr>
                <w:rFonts w:cs="Arial"/>
                <w:sz w:val="22"/>
                <w:szCs w:val="22"/>
              </w:rPr>
              <w:t>However we noted issues in the operation of the Streamline system we tested at three locations around the county, and also in the operation of the ParentPay system in three schools.</w:t>
            </w:r>
          </w:p>
        </w:tc>
        <w:tc>
          <w:tcPr>
            <w:tcW w:w="1418" w:type="dxa"/>
            <w:tcBorders>
              <w:top w:val="nil"/>
              <w:bottom w:val="single" w:sz="4" w:space="0" w:color="auto"/>
            </w:tcBorders>
          </w:tcPr>
          <w:p w:rsidR="003D78D9" w:rsidRPr="003D78D9" w:rsidRDefault="00B51F60" w:rsidP="00D97831">
            <w:pPr>
              <w:rPr>
                <w:rFonts w:cs="Arial"/>
                <w:sz w:val="22"/>
                <w:szCs w:val="22"/>
              </w:rPr>
            </w:pPr>
            <w:r w:rsidRPr="003D78D9">
              <w:rPr>
                <w:rFonts w:cs="Arial"/>
                <w:sz w:val="22"/>
                <w:szCs w:val="22"/>
              </w:rPr>
              <w:t>Substantial</w:t>
            </w:r>
          </w:p>
        </w:tc>
      </w:tr>
      <w:tr w:rsidR="00950C6E" w:rsidTr="005472AE">
        <w:trPr>
          <w:trHeight w:val="300"/>
        </w:trPr>
        <w:tc>
          <w:tcPr>
            <w:tcW w:w="1843" w:type="dxa"/>
            <w:tcBorders>
              <w:top w:val="nil"/>
              <w:bottom w:val="nil"/>
            </w:tcBorders>
            <w:shd w:val="clear" w:color="auto" w:fill="auto"/>
            <w:noWrap/>
          </w:tcPr>
          <w:p w:rsidR="003D78D9" w:rsidRPr="003D78D9" w:rsidRDefault="00C6442D" w:rsidP="00D97831">
            <w:pPr>
              <w:rPr>
                <w:rFonts w:cs="Arial"/>
                <w:color w:val="000000"/>
                <w:sz w:val="22"/>
                <w:szCs w:val="22"/>
              </w:rPr>
            </w:pPr>
          </w:p>
        </w:tc>
        <w:tc>
          <w:tcPr>
            <w:tcW w:w="2977" w:type="dxa"/>
            <w:tcBorders>
              <w:top w:val="nil"/>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Oversight of payroll payments</w:t>
            </w:r>
          </w:p>
        </w:tc>
        <w:tc>
          <w:tcPr>
            <w:tcW w:w="3969" w:type="dxa"/>
            <w:tcBorders>
              <w:top w:val="nil"/>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of the council's monitoring and oversight of BTLS's processes, with annual compliance testing.</w:t>
            </w:r>
          </w:p>
        </w:tc>
        <w:tc>
          <w:tcPr>
            <w:tcW w:w="4394" w:type="dxa"/>
            <w:tcBorders>
              <w:top w:val="nil"/>
              <w:bottom w:val="single" w:sz="4" w:space="0" w:color="auto"/>
            </w:tcBorders>
          </w:tcPr>
          <w:p w:rsidR="003D78D9" w:rsidRPr="003D78D9" w:rsidRDefault="00B51F60" w:rsidP="00D97831">
            <w:pPr>
              <w:rPr>
                <w:rFonts w:cs="Arial"/>
                <w:sz w:val="22"/>
                <w:szCs w:val="22"/>
              </w:rPr>
            </w:pPr>
            <w:r w:rsidRPr="003D78D9">
              <w:rPr>
                <w:rFonts w:cs="Arial"/>
                <w:sz w:val="22"/>
                <w:szCs w:val="22"/>
              </w:rPr>
              <w:t>Controls to oversee the processing by BTLS of payroll transactions on behalf of the council are effective.</w:t>
            </w:r>
          </w:p>
        </w:tc>
        <w:tc>
          <w:tcPr>
            <w:tcW w:w="1418" w:type="dxa"/>
            <w:tcBorders>
              <w:top w:val="nil"/>
              <w:bottom w:val="single" w:sz="4" w:space="0" w:color="auto"/>
            </w:tcBorders>
          </w:tcPr>
          <w:p w:rsidR="003D78D9" w:rsidRPr="003D78D9" w:rsidRDefault="00B51F60" w:rsidP="00D97831">
            <w:pPr>
              <w:rPr>
                <w:rFonts w:cs="Arial"/>
                <w:color w:val="000000"/>
                <w:sz w:val="22"/>
                <w:szCs w:val="22"/>
              </w:rPr>
            </w:pPr>
            <w:r w:rsidRPr="003D78D9">
              <w:rPr>
                <w:rFonts w:cs="Arial"/>
                <w:sz w:val="22"/>
                <w:szCs w:val="22"/>
              </w:rPr>
              <w:t>Substantial</w:t>
            </w:r>
          </w:p>
        </w:tc>
      </w:tr>
      <w:tr w:rsidR="00950C6E" w:rsidTr="005472AE">
        <w:trPr>
          <w:trHeight w:val="300"/>
        </w:trPr>
        <w:tc>
          <w:tcPr>
            <w:tcW w:w="1843" w:type="dxa"/>
            <w:tcBorders>
              <w:top w:val="nil"/>
              <w:bottom w:val="single" w:sz="4" w:space="0" w:color="auto"/>
            </w:tcBorders>
            <w:shd w:val="clear" w:color="auto" w:fill="auto"/>
            <w:noWrap/>
          </w:tcPr>
          <w:p w:rsidR="003D78D9" w:rsidRPr="003D78D9" w:rsidRDefault="00C6442D" w:rsidP="00D97831">
            <w:pPr>
              <w:rPr>
                <w:rFonts w:cs="Arial"/>
                <w:color w:val="000000"/>
                <w:sz w:val="22"/>
                <w:szCs w:val="22"/>
              </w:rPr>
            </w:pPr>
          </w:p>
        </w:tc>
        <w:tc>
          <w:tcPr>
            <w:tcW w:w="2977" w:type="dxa"/>
            <w:tcBorders>
              <w:top w:val="nil"/>
            </w:tcBorders>
          </w:tcPr>
          <w:p w:rsidR="003D78D9" w:rsidRPr="003D78D9" w:rsidRDefault="00B51F60" w:rsidP="00E724AD">
            <w:pPr>
              <w:rPr>
                <w:rFonts w:cs="Arial"/>
                <w:color w:val="000000"/>
                <w:sz w:val="22"/>
                <w:szCs w:val="22"/>
              </w:rPr>
            </w:pPr>
            <w:r w:rsidRPr="003D78D9">
              <w:rPr>
                <w:rFonts w:cs="Arial"/>
                <w:color w:val="000000"/>
                <w:sz w:val="22"/>
                <w:szCs w:val="22"/>
              </w:rPr>
              <w:t>Accounts payable: central controls</w:t>
            </w:r>
          </w:p>
        </w:tc>
        <w:tc>
          <w:tcPr>
            <w:tcW w:w="3969" w:type="dxa"/>
            <w:tcBorders>
              <w:top w:val="nil"/>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of the controls in place, with annual compliance testing.</w:t>
            </w:r>
          </w:p>
        </w:tc>
        <w:tc>
          <w:tcPr>
            <w:tcW w:w="4394" w:type="dxa"/>
            <w:tcBorders>
              <w:top w:val="nil"/>
              <w:bottom w:val="single" w:sz="4" w:space="0" w:color="auto"/>
            </w:tcBorders>
          </w:tcPr>
          <w:p w:rsidR="005472AE" w:rsidRPr="006F2F4E" w:rsidRDefault="00B51F60" w:rsidP="005472AE">
            <w:pPr>
              <w:rPr>
                <w:rFonts w:cs="Arial"/>
                <w:sz w:val="22"/>
                <w:szCs w:val="22"/>
              </w:rPr>
            </w:pPr>
            <w:r w:rsidRPr="006F2F4E">
              <w:rPr>
                <w:rFonts w:cs="Arial"/>
                <w:sz w:val="22"/>
                <w:szCs w:val="22"/>
              </w:rPr>
              <w:t>Whilst it is appropriate that officers are able to incur expenditure on behalf of the council, at the time of our audit there were 1,280 officers who could raise and approve requisitions. Of these, 48 officers could self-approve expenditure up to £25,000; nine up to £125,000; one up to £1.7 million; and one up to £10 million. Although we found that no inappropriate purchases had been made, there are clearly weaknesses in the permissions granted to officers.</w:t>
            </w:r>
          </w:p>
          <w:p w:rsidR="003D78D9" w:rsidRPr="00D93B4D" w:rsidRDefault="00B51F60" w:rsidP="005472AE">
            <w:pPr>
              <w:rPr>
                <w:rFonts w:cs="Arial"/>
                <w:color w:val="4F81BD" w:themeColor="accent1"/>
                <w:sz w:val="22"/>
                <w:szCs w:val="22"/>
              </w:rPr>
            </w:pPr>
            <w:r w:rsidRPr="006F2F4E">
              <w:rPr>
                <w:rFonts w:cs="Arial"/>
                <w:sz w:val="22"/>
                <w:szCs w:val="22"/>
              </w:rPr>
              <w:t>We also identified 23 officers with access to process and transmit BACS files, of whom four had left the council's or BTLS's employment and seven others no longer required this access. Similarly we identified a number of users who had retained other access they no longer required.</w:t>
            </w:r>
          </w:p>
        </w:tc>
        <w:tc>
          <w:tcPr>
            <w:tcW w:w="1418" w:type="dxa"/>
            <w:tcBorders>
              <w:top w:val="nil"/>
              <w:bottom w:val="single" w:sz="4" w:space="0" w:color="auto"/>
            </w:tcBorders>
          </w:tcPr>
          <w:p w:rsidR="003D78D9" w:rsidRPr="003D78D9" w:rsidRDefault="00B51F60" w:rsidP="00D97831">
            <w:pPr>
              <w:rPr>
                <w:rFonts w:cs="Arial"/>
                <w:color w:val="000000"/>
                <w:sz w:val="22"/>
                <w:szCs w:val="22"/>
              </w:rPr>
            </w:pPr>
            <w:r>
              <w:rPr>
                <w:rFonts w:cs="Arial"/>
                <w:color w:val="000000"/>
                <w:sz w:val="22"/>
                <w:szCs w:val="22"/>
              </w:rPr>
              <w:t>Limited</w:t>
            </w:r>
          </w:p>
        </w:tc>
      </w:tr>
      <w:tr w:rsidR="00950C6E" w:rsidTr="005472AE">
        <w:trPr>
          <w:trHeight w:val="300"/>
        </w:trPr>
        <w:tc>
          <w:tcPr>
            <w:tcW w:w="1843" w:type="dxa"/>
            <w:tcBorders>
              <w:top w:val="single" w:sz="4" w:space="0" w:color="auto"/>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lastRenderedPageBreak/>
              <w:t>Financial processes</w:t>
            </w:r>
            <w:r>
              <w:rPr>
                <w:rFonts w:cs="Arial"/>
                <w:color w:val="000000"/>
                <w:sz w:val="22"/>
                <w:szCs w:val="22"/>
              </w:rPr>
              <w:t xml:space="preserve"> continued</w:t>
            </w: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VAT</w:t>
            </w:r>
          </w:p>
        </w:tc>
        <w:tc>
          <w:tcPr>
            <w:tcW w:w="3969" w:type="dxa"/>
            <w:tcBorders>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of the controls in place, with periodic compliance testing.</w:t>
            </w:r>
          </w:p>
        </w:tc>
        <w:tc>
          <w:tcPr>
            <w:tcW w:w="4394" w:type="dxa"/>
            <w:tcBorders>
              <w:top w:val="single" w:sz="4" w:space="0" w:color="auto"/>
              <w:bottom w:val="single" w:sz="4" w:space="0" w:color="auto"/>
            </w:tcBorders>
          </w:tcPr>
          <w:p w:rsidR="003D78D9" w:rsidRPr="006F2F4E" w:rsidRDefault="00B51F60" w:rsidP="008D025F">
            <w:pPr>
              <w:rPr>
                <w:rFonts w:cs="Arial"/>
                <w:sz w:val="22"/>
                <w:szCs w:val="22"/>
              </w:rPr>
            </w:pPr>
            <w:r w:rsidRPr="006F2F4E">
              <w:rPr>
                <w:rFonts w:cs="Arial"/>
                <w:sz w:val="22"/>
                <w:szCs w:val="22"/>
              </w:rPr>
              <w:t>Controls over accounting for VAT are generally good, and we found no significant areas of concern.</w:t>
            </w:r>
          </w:p>
        </w:tc>
        <w:tc>
          <w:tcPr>
            <w:tcW w:w="1418" w:type="dxa"/>
            <w:tcBorders>
              <w:top w:val="single" w:sz="4" w:space="0" w:color="auto"/>
              <w:bottom w:val="single" w:sz="4" w:space="0" w:color="auto"/>
            </w:tcBorders>
          </w:tcPr>
          <w:p w:rsidR="003D78D9" w:rsidRPr="003D78D9" w:rsidRDefault="00B51F60" w:rsidP="00D97831">
            <w:pPr>
              <w:rPr>
                <w:rFonts w:cs="Arial"/>
                <w:color w:val="000000"/>
                <w:sz w:val="22"/>
                <w:szCs w:val="22"/>
              </w:rPr>
            </w:pPr>
            <w:r>
              <w:rPr>
                <w:rFonts w:cs="Arial"/>
                <w:color w:val="000000"/>
                <w:sz w:val="22"/>
                <w:szCs w:val="22"/>
              </w:rPr>
              <w:t>Substantial</w:t>
            </w:r>
          </w:p>
        </w:tc>
      </w:tr>
      <w:tr w:rsidR="00950C6E" w:rsidTr="006612D8">
        <w:trPr>
          <w:trHeight w:val="300"/>
        </w:trPr>
        <w:tc>
          <w:tcPr>
            <w:tcW w:w="1843" w:type="dxa"/>
            <w:tcBorders>
              <w:bottom w:val="single" w:sz="4" w:space="0" w:color="auto"/>
            </w:tcBorders>
            <w:shd w:val="clear" w:color="auto" w:fill="auto"/>
            <w:noWrap/>
            <w:hideMark/>
          </w:tcPr>
          <w:p w:rsidR="003D78D9" w:rsidRPr="003D78D9" w:rsidRDefault="00B51F60" w:rsidP="00D97831">
            <w:pPr>
              <w:rPr>
                <w:rFonts w:cs="Arial"/>
                <w:color w:val="000000"/>
                <w:sz w:val="22"/>
                <w:szCs w:val="22"/>
              </w:rPr>
            </w:pPr>
            <w:r w:rsidRPr="003D78D9">
              <w:rPr>
                <w:rFonts w:cs="Arial"/>
                <w:color w:val="000000"/>
                <w:sz w:val="22"/>
                <w:szCs w:val="22"/>
              </w:rPr>
              <w:t>Procurement</w:t>
            </w: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Central procurement: compliance with legislation, financial regulations and standing orders</w:t>
            </w:r>
          </w:p>
        </w:tc>
        <w:tc>
          <w:tcPr>
            <w:tcW w:w="3969" w:type="dxa"/>
            <w:tcBorders>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with annual compliance testing.</w:t>
            </w:r>
          </w:p>
        </w:tc>
        <w:tc>
          <w:tcPr>
            <w:tcW w:w="4394" w:type="dxa"/>
            <w:tcBorders>
              <w:bottom w:val="single" w:sz="4" w:space="0" w:color="auto"/>
            </w:tcBorders>
          </w:tcPr>
          <w:p w:rsidR="003D78D9" w:rsidRPr="006F2F4E" w:rsidRDefault="00B51F60" w:rsidP="00D97831">
            <w:pPr>
              <w:rPr>
                <w:rFonts w:cs="Arial"/>
                <w:sz w:val="22"/>
                <w:szCs w:val="22"/>
              </w:rPr>
            </w:pPr>
            <w:r w:rsidRPr="006F2F4E">
              <w:rPr>
                <w:rFonts w:cs="Arial"/>
                <w:sz w:val="22"/>
                <w:szCs w:val="22"/>
              </w:rPr>
              <w:t>The Procurement Service has established procedures to ensure that all procurement exercises follow the council's procurement rules and strategy, and the control exerted by that central team is effective.</w:t>
            </w:r>
          </w:p>
        </w:tc>
        <w:tc>
          <w:tcPr>
            <w:tcW w:w="1418" w:type="dxa"/>
            <w:tcBorders>
              <w:bottom w:val="single" w:sz="4" w:space="0" w:color="auto"/>
            </w:tcBorders>
          </w:tcPr>
          <w:p w:rsidR="003D78D9" w:rsidRPr="003D78D9" w:rsidRDefault="00B51F60" w:rsidP="00D97831">
            <w:pPr>
              <w:rPr>
                <w:rFonts w:cs="Arial"/>
                <w:color w:val="000000"/>
                <w:sz w:val="22"/>
                <w:szCs w:val="22"/>
              </w:rPr>
            </w:pPr>
            <w:r w:rsidRPr="003D78D9">
              <w:rPr>
                <w:rFonts w:cs="Arial"/>
                <w:color w:val="000000"/>
                <w:sz w:val="22"/>
                <w:szCs w:val="22"/>
              </w:rPr>
              <w:t>Substantial</w:t>
            </w:r>
          </w:p>
        </w:tc>
      </w:tr>
      <w:tr w:rsidR="00950C6E" w:rsidTr="006612D8">
        <w:trPr>
          <w:trHeight w:val="300"/>
        </w:trPr>
        <w:tc>
          <w:tcPr>
            <w:tcW w:w="1843" w:type="dxa"/>
            <w:tcBorders>
              <w:top w:val="nil"/>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Payroll processing</w:t>
            </w:r>
          </w:p>
        </w:tc>
        <w:tc>
          <w:tcPr>
            <w:tcW w:w="2977" w:type="dxa"/>
          </w:tcPr>
          <w:p w:rsidR="003D78D9" w:rsidRPr="003D78D9" w:rsidRDefault="00B51F60" w:rsidP="00E724AD">
            <w:pPr>
              <w:rPr>
                <w:rFonts w:cs="Arial"/>
                <w:color w:val="000000"/>
                <w:sz w:val="22"/>
                <w:szCs w:val="22"/>
              </w:rPr>
            </w:pPr>
            <w:r w:rsidRPr="003D78D9">
              <w:rPr>
                <w:rFonts w:cs="Arial"/>
                <w:color w:val="000000"/>
                <w:sz w:val="22"/>
                <w:szCs w:val="22"/>
              </w:rPr>
              <w:t>Processing of payments by BTLS, using information supplied by LCC</w:t>
            </w:r>
          </w:p>
        </w:tc>
        <w:tc>
          <w:tcPr>
            <w:tcW w:w="3969" w:type="dxa"/>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with annual compliance testing.</w:t>
            </w:r>
          </w:p>
        </w:tc>
        <w:tc>
          <w:tcPr>
            <w:tcW w:w="4394" w:type="dxa"/>
          </w:tcPr>
          <w:p w:rsidR="003D78D9" w:rsidRPr="006F2F4E" w:rsidRDefault="00B51F60" w:rsidP="00D97831">
            <w:pPr>
              <w:rPr>
                <w:rFonts w:cs="Arial"/>
                <w:sz w:val="22"/>
                <w:szCs w:val="22"/>
              </w:rPr>
            </w:pPr>
            <w:r w:rsidRPr="006F2F4E">
              <w:rPr>
                <w:rFonts w:cs="Arial"/>
                <w:sz w:val="22"/>
                <w:szCs w:val="22"/>
              </w:rPr>
              <w:t>We found no control issues in the process operated by BTLS to process payroll payments to the council's staff.</w:t>
            </w:r>
          </w:p>
        </w:tc>
        <w:tc>
          <w:tcPr>
            <w:tcW w:w="1418" w:type="dxa"/>
          </w:tcPr>
          <w:p w:rsidR="003D78D9" w:rsidRPr="003D78D9" w:rsidRDefault="00B51F60" w:rsidP="00D97831">
            <w:pPr>
              <w:rPr>
                <w:rFonts w:cs="Arial"/>
                <w:color w:val="000000"/>
                <w:sz w:val="22"/>
                <w:szCs w:val="22"/>
              </w:rPr>
            </w:pPr>
            <w:r w:rsidRPr="003D78D9">
              <w:rPr>
                <w:rFonts w:cs="Arial"/>
                <w:color w:val="000000"/>
                <w:sz w:val="22"/>
                <w:szCs w:val="22"/>
              </w:rPr>
              <w:t>Full</w:t>
            </w:r>
          </w:p>
        </w:tc>
      </w:tr>
      <w:tr w:rsidR="00950C6E" w:rsidTr="006612D8">
        <w:trPr>
          <w:trHeight w:val="300"/>
        </w:trPr>
        <w:tc>
          <w:tcPr>
            <w:tcW w:w="1843" w:type="dxa"/>
            <w:tcBorders>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Human resources (and finance)</w:t>
            </w:r>
          </w:p>
        </w:tc>
        <w:tc>
          <w:tcPr>
            <w:tcW w:w="2977" w:type="dxa"/>
            <w:tcBorders>
              <w:bottom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 xml:space="preserve">Amendments to the council's establishment: completeness, accuracy and currency of records </w:t>
            </w:r>
          </w:p>
        </w:tc>
        <w:tc>
          <w:tcPr>
            <w:tcW w:w="3969" w:type="dxa"/>
            <w:tcBorders>
              <w:bottom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Risk and control evaluation to ensure that the staff establishment, hierarchies and budgets are aligned, with full compliance testing.</w:t>
            </w:r>
          </w:p>
        </w:tc>
        <w:tc>
          <w:tcPr>
            <w:tcW w:w="4394" w:type="dxa"/>
            <w:tcBorders>
              <w:bottom w:val="single" w:sz="4" w:space="0" w:color="auto"/>
            </w:tcBorders>
          </w:tcPr>
          <w:p w:rsidR="003D78D9" w:rsidRPr="006F2F4E" w:rsidRDefault="00B51F60" w:rsidP="00B76139">
            <w:pPr>
              <w:rPr>
                <w:rFonts w:cs="Arial"/>
                <w:sz w:val="22"/>
                <w:szCs w:val="22"/>
              </w:rPr>
            </w:pPr>
            <w:r w:rsidRPr="006F2F4E">
              <w:rPr>
                <w:rFonts w:cs="Arial"/>
                <w:sz w:val="22"/>
                <w:szCs w:val="22"/>
              </w:rPr>
              <w:t>Work has begun and will continue into 2017 as the systems are further developed.</w:t>
            </w:r>
          </w:p>
        </w:tc>
        <w:tc>
          <w:tcPr>
            <w:tcW w:w="1418" w:type="dxa"/>
            <w:tcBorders>
              <w:bottom w:val="single" w:sz="4" w:space="0" w:color="auto"/>
            </w:tcBorders>
          </w:tcPr>
          <w:p w:rsidR="003D78D9" w:rsidRPr="003D78D9" w:rsidRDefault="00B51F60" w:rsidP="00D97831">
            <w:pPr>
              <w:rPr>
                <w:rFonts w:cs="Arial"/>
                <w:color w:val="000000"/>
                <w:sz w:val="22"/>
                <w:szCs w:val="22"/>
              </w:rPr>
            </w:pPr>
            <w:r>
              <w:rPr>
                <w:rFonts w:cs="Arial"/>
                <w:color w:val="000000"/>
                <w:sz w:val="22"/>
                <w:szCs w:val="22"/>
              </w:rPr>
              <w:t>Not applicable</w:t>
            </w:r>
          </w:p>
        </w:tc>
      </w:tr>
      <w:tr w:rsidR="00950C6E" w:rsidTr="006612D8">
        <w:trPr>
          <w:trHeight w:val="62"/>
        </w:trPr>
        <w:tc>
          <w:tcPr>
            <w:tcW w:w="1843" w:type="dxa"/>
            <w:tcBorders>
              <w:top w:val="nil"/>
              <w:left w:val="single" w:sz="4" w:space="0" w:color="auto"/>
              <w:right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ICT</w:t>
            </w:r>
          </w:p>
        </w:tc>
        <w:tc>
          <w:tcPr>
            <w:tcW w:w="2977" w:type="dxa"/>
            <w:tcBorders>
              <w:top w:val="nil"/>
              <w:left w:val="single" w:sz="4" w:space="0" w:color="auto"/>
              <w:right w:val="single" w:sz="4" w:space="0" w:color="auto"/>
            </w:tcBorders>
          </w:tcPr>
          <w:p w:rsidR="003D78D9" w:rsidRPr="003D78D9" w:rsidRDefault="00B51F60" w:rsidP="00E724AD">
            <w:pPr>
              <w:rPr>
                <w:rFonts w:cs="Arial"/>
                <w:color w:val="000000"/>
                <w:sz w:val="22"/>
                <w:szCs w:val="22"/>
              </w:rPr>
            </w:pPr>
            <w:r w:rsidRPr="003D78D9">
              <w:rPr>
                <w:rFonts w:cs="Arial"/>
                <w:color w:val="000000"/>
                <w:sz w:val="22"/>
                <w:szCs w:val="22"/>
              </w:rPr>
              <w:t>Possible work may include general IT controls, IT security and continuity planning, and application controls.</w:t>
            </w:r>
          </w:p>
        </w:tc>
        <w:tc>
          <w:tcPr>
            <w:tcW w:w="3969" w:type="dxa"/>
            <w:tcBorders>
              <w:top w:val="nil"/>
              <w:left w:val="single" w:sz="4" w:space="0" w:color="auto"/>
              <w:right w:val="single" w:sz="4" w:space="0" w:color="auto"/>
            </w:tcBorders>
            <w:shd w:val="clear" w:color="auto" w:fill="auto"/>
            <w:noWrap/>
          </w:tcPr>
          <w:p w:rsidR="003D78D9" w:rsidRPr="003D78D9" w:rsidRDefault="00B51F60" w:rsidP="00D97831">
            <w:pPr>
              <w:rPr>
                <w:rFonts w:cs="Arial"/>
                <w:color w:val="000000"/>
                <w:sz w:val="22"/>
                <w:szCs w:val="22"/>
              </w:rPr>
            </w:pPr>
            <w:r w:rsidRPr="003D78D9">
              <w:rPr>
                <w:rFonts w:cs="Arial"/>
                <w:color w:val="000000"/>
                <w:sz w:val="22"/>
                <w:szCs w:val="22"/>
              </w:rPr>
              <w:t>External advice is required, including discussions with BTLS, to properly assess the ICT audit work that is appropriate and achievable.</w:t>
            </w:r>
          </w:p>
        </w:tc>
        <w:tc>
          <w:tcPr>
            <w:tcW w:w="4394" w:type="dxa"/>
            <w:tcBorders>
              <w:top w:val="nil"/>
              <w:left w:val="single" w:sz="4" w:space="0" w:color="auto"/>
              <w:right w:val="single" w:sz="4" w:space="0" w:color="auto"/>
            </w:tcBorders>
          </w:tcPr>
          <w:p w:rsidR="003D78D9" w:rsidRPr="003D78D9" w:rsidRDefault="00B51F60" w:rsidP="00B76139">
            <w:pPr>
              <w:rPr>
                <w:rFonts w:cs="Arial"/>
                <w:sz w:val="22"/>
                <w:szCs w:val="22"/>
              </w:rPr>
            </w:pPr>
            <w:r w:rsidRPr="003D78D9">
              <w:rPr>
                <w:rFonts w:cs="Arial"/>
                <w:sz w:val="22"/>
                <w:szCs w:val="22"/>
              </w:rPr>
              <w:t xml:space="preserve">Discussions with </w:t>
            </w:r>
            <w:r>
              <w:rPr>
                <w:rFonts w:cs="Arial"/>
                <w:sz w:val="22"/>
                <w:szCs w:val="22"/>
              </w:rPr>
              <w:t xml:space="preserve">Corporate Services and </w:t>
            </w:r>
            <w:r w:rsidRPr="003D78D9">
              <w:rPr>
                <w:rFonts w:cs="Arial"/>
                <w:sz w:val="22"/>
                <w:szCs w:val="22"/>
              </w:rPr>
              <w:t>BTLS are progressing into 2017/18, but some assurance over the controls operated on the council's behalf to manage the risks around the use of ICT systems is available and has been provided</w:t>
            </w:r>
            <w:r>
              <w:rPr>
                <w:rFonts w:cs="Arial"/>
                <w:sz w:val="22"/>
                <w:szCs w:val="22"/>
              </w:rPr>
              <w:t xml:space="preserve"> through BTLS's ISO 9001:2008 certification, Public Sector Network compliance, and compliance with the NHS Code of Connection.</w:t>
            </w:r>
          </w:p>
        </w:tc>
        <w:tc>
          <w:tcPr>
            <w:tcW w:w="1418" w:type="dxa"/>
            <w:tcBorders>
              <w:top w:val="nil"/>
              <w:left w:val="single" w:sz="4" w:space="0" w:color="auto"/>
              <w:right w:val="single" w:sz="4" w:space="0" w:color="auto"/>
            </w:tcBorders>
          </w:tcPr>
          <w:p w:rsidR="003D78D9" w:rsidRPr="003D78D9" w:rsidRDefault="00B51F60" w:rsidP="00D97831">
            <w:pPr>
              <w:rPr>
                <w:rFonts w:cs="Arial"/>
                <w:color w:val="000000"/>
                <w:sz w:val="22"/>
                <w:szCs w:val="22"/>
              </w:rPr>
            </w:pPr>
            <w:r>
              <w:rPr>
                <w:rFonts w:cs="Arial"/>
                <w:color w:val="000000"/>
                <w:sz w:val="22"/>
                <w:szCs w:val="22"/>
              </w:rPr>
              <w:t>Not applicable</w:t>
            </w:r>
          </w:p>
        </w:tc>
      </w:tr>
    </w:tbl>
    <w:p w:rsidR="000F224D" w:rsidRDefault="00C6442D" w:rsidP="000F224D">
      <w:pPr>
        <w:spacing w:before="120" w:after="120"/>
      </w:pPr>
    </w:p>
    <w:p w:rsidR="000F224D" w:rsidRDefault="00C6442D" w:rsidP="008B1E51">
      <w:pPr>
        <w:tabs>
          <w:tab w:val="left" w:pos="2666"/>
        </w:tabs>
        <w:sectPr w:rsidR="000F224D" w:rsidSect="006612D8">
          <w:headerReference w:type="default" r:id="rId16"/>
          <w:footerReference w:type="default" r:id="rId17"/>
          <w:pgSz w:w="16840" w:h="11907" w:orient="landscape" w:code="9"/>
          <w:pgMar w:top="1702" w:right="1247" w:bottom="1134" w:left="1077" w:header="709" w:footer="595" w:gutter="0"/>
          <w:pgNumType w:start="1"/>
          <w:cols w:space="708"/>
          <w:docGrid w:linePitch="360"/>
        </w:sectPr>
      </w:pPr>
    </w:p>
    <w:p w:rsidR="008F2360" w:rsidRPr="003E68C1" w:rsidRDefault="00B51F60" w:rsidP="008F2360">
      <w:pPr>
        <w:pStyle w:val="BodyText"/>
        <w:numPr>
          <w:ilvl w:val="0"/>
          <w:numId w:val="2"/>
        </w:numPr>
        <w:spacing w:before="240" w:after="120"/>
        <w:rPr>
          <w:b/>
          <w:sz w:val="28"/>
          <w:szCs w:val="28"/>
        </w:rPr>
      </w:pPr>
      <w:r w:rsidRPr="003E68C1">
        <w:rPr>
          <w:b/>
          <w:sz w:val="28"/>
          <w:szCs w:val="28"/>
        </w:rPr>
        <w:lastRenderedPageBreak/>
        <w:t>Scope, responsibilities and assurance</w:t>
      </w:r>
    </w:p>
    <w:p w:rsidR="008F2360" w:rsidRPr="00F92FDE" w:rsidRDefault="00B51F60" w:rsidP="008F2360">
      <w:pPr>
        <w:pStyle w:val="Heading3"/>
        <w:tabs>
          <w:tab w:val="left" w:pos="284"/>
        </w:tabs>
        <w:spacing w:after="120"/>
        <w:rPr>
          <w:rFonts w:ascii="Arial" w:hAnsi="Arial" w:cs="Arial"/>
        </w:rPr>
      </w:pPr>
      <w:r w:rsidRPr="00F92FDE">
        <w:rPr>
          <w:rFonts w:ascii="Arial" w:hAnsi="Arial" w:cs="Arial"/>
        </w:rPr>
        <w:t>Approach</w:t>
      </w:r>
    </w:p>
    <w:p w:rsidR="008F2360" w:rsidRPr="00CB45E5" w:rsidRDefault="00B51F60" w:rsidP="008F2360">
      <w:pPr>
        <w:pStyle w:val="BodyText"/>
        <w:numPr>
          <w:ilvl w:val="1"/>
          <w:numId w:val="2"/>
        </w:numPr>
        <w:spacing w:before="120" w:after="120"/>
      </w:pPr>
      <w:r>
        <w:t>The Internal Audit Service operates in accordance with Public Sector Internal Audit Standards</w:t>
      </w:r>
      <w:r w:rsidRPr="00CB45E5">
        <w:t xml:space="preserve">, 2017. The scope of internal audit work encompasses all of the council’s operations, resources and services including where they are provided by other organisations on </w:t>
      </w:r>
      <w:r>
        <w:t>its</w:t>
      </w:r>
      <w:r w:rsidRPr="00CB45E5">
        <w:t xml:space="preserve"> behalf.</w:t>
      </w:r>
    </w:p>
    <w:p w:rsidR="008F2360" w:rsidRPr="00F92FDE" w:rsidRDefault="00B51F60" w:rsidP="008F2360">
      <w:pPr>
        <w:pStyle w:val="Heading3"/>
        <w:tabs>
          <w:tab w:val="left" w:pos="284"/>
        </w:tabs>
        <w:spacing w:after="120"/>
        <w:rPr>
          <w:rFonts w:ascii="Arial" w:hAnsi="Arial" w:cs="Arial"/>
        </w:rPr>
      </w:pPr>
      <w:r w:rsidRPr="00F92FDE">
        <w:rPr>
          <w:rFonts w:ascii="Arial" w:hAnsi="Arial" w:cs="Arial"/>
        </w:rPr>
        <w:t>Responsibilities of management and internal auditors</w:t>
      </w:r>
    </w:p>
    <w:p w:rsidR="008F2360" w:rsidRDefault="00B51F60" w:rsidP="008F2360">
      <w:pPr>
        <w:pStyle w:val="BodyText"/>
        <w:numPr>
          <w:ilvl w:val="1"/>
          <w:numId w:val="2"/>
        </w:numPr>
        <w:spacing w:before="120" w:after="120"/>
      </w:pPr>
      <w:r>
        <w:t>It is management’s responsibility to maintain systems of risk management, internal control and governance. Internal audit is an element of the internal control framework assisting management in the effective discharge of its responsibilities and functions by examining and evaluating controls. Internal auditors cannot therefore be held responsible for internal control failures.</w:t>
      </w:r>
    </w:p>
    <w:p w:rsidR="008F2360" w:rsidRDefault="00B51F60" w:rsidP="008F2360">
      <w:pPr>
        <w:pStyle w:val="BodyText"/>
        <w:numPr>
          <w:ilvl w:val="1"/>
          <w:numId w:val="2"/>
        </w:numPr>
        <w:spacing w:before="120" w:after="120"/>
      </w:pPr>
      <w:r>
        <w:t>However, we have planned our work so that we have a reasonable expectation of detecting significant control weaknesses. We have reported all such weaknesses to management as they have become known to us, without undue delay, and have worked with management to develop proposals for remedial action.</w:t>
      </w:r>
    </w:p>
    <w:p w:rsidR="008F2360" w:rsidRDefault="00B51F60" w:rsidP="008F2360">
      <w:pPr>
        <w:pStyle w:val="BodyText"/>
        <w:numPr>
          <w:ilvl w:val="1"/>
          <w:numId w:val="2"/>
        </w:numPr>
        <w:spacing w:before="120" w:after="120"/>
      </w:pPr>
      <w:r>
        <w:t>Internal audit procedures alone do not guarantee that fraud will be detected. Accordingly, our examinations as internal auditors should not be relied upon solely to disclose fraud or other irregularities which may exist, unless we are requested to carry out a special investigation for such activities in a particular area.</w:t>
      </w:r>
    </w:p>
    <w:p w:rsidR="008F2360" w:rsidRDefault="00B51F60" w:rsidP="008F2360">
      <w:pPr>
        <w:pStyle w:val="BodyText"/>
        <w:numPr>
          <w:ilvl w:val="1"/>
          <w:numId w:val="2"/>
        </w:numPr>
        <w:spacing w:before="120" w:after="120"/>
      </w:pPr>
      <w:r>
        <w:t>Internal audit’s role includes assessing the adequacy of the risk management processes, key internal control systems and corporate governance arrangements put in place by management and performing testing to ensure those controls were operating effectively for the period under review.</w:t>
      </w:r>
    </w:p>
    <w:p w:rsidR="008F2360" w:rsidRPr="00F92FDE" w:rsidRDefault="00B51F60" w:rsidP="008F2360">
      <w:pPr>
        <w:pStyle w:val="Heading3"/>
        <w:tabs>
          <w:tab w:val="left" w:pos="284"/>
        </w:tabs>
        <w:spacing w:after="120"/>
        <w:rPr>
          <w:rFonts w:ascii="Arial" w:hAnsi="Arial" w:cs="Arial"/>
        </w:rPr>
      </w:pPr>
      <w:r w:rsidRPr="00F92FDE">
        <w:rPr>
          <w:rFonts w:ascii="Arial" w:hAnsi="Arial" w:cs="Arial"/>
        </w:rPr>
        <w:t>Basis of our assessment</w:t>
      </w:r>
    </w:p>
    <w:p w:rsidR="008F2360" w:rsidRDefault="00B51F60" w:rsidP="008F2360">
      <w:pPr>
        <w:pStyle w:val="BodyText"/>
        <w:numPr>
          <w:ilvl w:val="1"/>
          <w:numId w:val="2"/>
        </w:numPr>
        <w:spacing w:before="120" w:after="120"/>
      </w:pPr>
      <w:r>
        <w:t xml:space="preserve">My opinion on the adequacy of control arrangements is based upon the result of internal audit work undertaken and completed during the period in accordance with the plan approved by the Audit and Governance Committee. Sufficient, reliable and relevant </w:t>
      </w:r>
      <w:r w:rsidRPr="00F92FDE">
        <w:t xml:space="preserve">evidence </w:t>
      </w:r>
      <w:r>
        <w:t>has been obtained</w:t>
      </w:r>
      <w:r w:rsidRPr="00F92FDE">
        <w:t xml:space="preserve"> to support the recommendations </w:t>
      </w:r>
      <w:r>
        <w:t>made.</w:t>
      </w:r>
    </w:p>
    <w:p w:rsidR="008F2360" w:rsidRPr="00F92FDE" w:rsidRDefault="00B51F60" w:rsidP="008F2360">
      <w:pPr>
        <w:pStyle w:val="Heading3"/>
        <w:tabs>
          <w:tab w:val="left" w:pos="284"/>
        </w:tabs>
        <w:spacing w:after="120"/>
        <w:rPr>
          <w:rFonts w:ascii="Arial" w:hAnsi="Arial" w:cs="Arial"/>
        </w:rPr>
      </w:pPr>
      <w:r w:rsidRPr="00F92FDE">
        <w:rPr>
          <w:rFonts w:ascii="Arial" w:hAnsi="Arial" w:cs="Arial"/>
        </w:rPr>
        <w:t>Limitations to the scope of our work</w:t>
      </w:r>
    </w:p>
    <w:p w:rsidR="008F2360" w:rsidRDefault="00B51F60" w:rsidP="008F2360">
      <w:pPr>
        <w:pStyle w:val="BodyText"/>
        <w:numPr>
          <w:ilvl w:val="1"/>
          <w:numId w:val="2"/>
        </w:numPr>
        <w:spacing w:before="120" w:after="120"/>
      </w:pPr>
      <w:r>
        <w:t>Other than as set out in the audit plan for the year there have been no limitations to the scope of the audit work.</w:t>
      </w:r>
    </w:p>
    <w:p w:rsidR="008F2360" w:rsidRPr="00F92FDE" w:rsidRDefault="00B51F60" w:rsidP="008F2360">
      <w:pPr>
        <w:pStyle w:val="Heading3"/>
        <w:tabs>
          <w:tab w:val="left" w:pos="284"/>
        </w:tabs>
        <w:spacing w:after="120"/>
        <w:rPr>
          <w:rFonts w:ascii="Arial" w:hAnsi="Arial" w:cs="Arial"/>
        </w:rPr>
      </w:pPr>
      <w:r w:rsidRPr="00F92FDE">
        <w:rPr>
          <w:rFonts w:ascii="Arial" w:hAnsi="Arial" w:cs="Arial"/>
        </w:rPr>
        <w:t>Limitations on the assurance that internal audit can provide</w:t>
      </w:r>
    </w:p>
    <w:p w:rsidR="008F2360" w:rsidRPr="00751710" w:rsidRDefault="00B51F60" w:rsidP="008F2360">
      <w:pPr>
        <w:pStyle w:val="BodyText"/>
        <w:numPr>
          <w:ilvl w:val="1"/>
          <w:numId w:val="2"/>
        </w:numPr>
        <w:spacing w:before="120" w:after="120"/>
      </w:pPr>
      <w:r w:rsidRPr="00751710">
        <w:t xml:space="preserve">There are inherent limitations as to what can be achieved by internal control and consequently limitations to the conclusions that can be drawn from </w:t>
      </w:r>
      <w:r>
        <w:t>our work as internal auditors</w:t>
      </w:r>
      <w:r w:rsidRPr="00751710">
        <w:t>. These limitations include the possibility of faulty judgement in decision making, of breakdowns because of human error, of control activities being circumvented by the collusion of two or more people and of m</w:t>
      </w:r>
      <w:r>
        <w:t>anagement overriding controls. Further,</w:t>
      </w:r>
      <w:r w:rsidRPr="00751710">
        <w:t xml:space="preserve"> there is no certainty that internal </w:t>
      </w:r>
      <w:r w:rsidRPr="00751710">
        <w:lastRenderedPageBreak/>
        <w:t>controls will continue to operate effectively in future periods or that the controls will be adequate to mitigate all significant ri</w:t>
      </w:r>
      <w:r>
        <w:t>sks which may arise in future.</w:t>
      </w:r>
    </w:p>
    <w:p w:rsidR="008F2360" w:rsidRPr="00751710" w:rsidRDefault="00B51F60" w:rsidP="008F2360">
      <w:pPr>
        <w:pStyle w:val="BodyText"/>
        <w:numPr>
          <w:ilvl w:val="1"/>
          <w:numId w:val="2"/>
        </w:numPr>
        <w:spacing w:before="120" w:after="120"/>
      </w:pPr>
      <w:r>
        <w:t>D</w:t>
      </w:r>
      <w:r w:rsidRPr="00751710">
        <w:t>ecisions made in designing internal controls inevitably involve the acceptance of some degree of risk. As the outcome of the operation of internal controls cannot be predicted with absolute assurance any assessment of internal control is judgmental.</w:t>
      </w:r>
    </w:p>
    <w:p w:rsidR="008F2360" w:rsidRPr="00F92FDE" w:rsidRDefault="00B51F60" w:rsidP="008F2360">
      <w:pPr>
        <w:pStyle w:val="Heading3"/>
        <w:tabs>
          <w:tab w:val="left" w:pos="284"/>
        </w:tabs>
        <w:spacing w:after="120"/>
        <w:rPr>
          <w:rFonts w:ascii="Arial" w:hAnsi="Arial" w:cs="Arial"/>
        </w:rPr>
      </w:pPr>
      <w:r w:rsidRPr="00F92FDE">
        <w:rPr>
          <w:rFonts w:ascii="Arial" w:hAnsi="Arial" w:cs="Arial"/>
        </w:rPr>
        <w:t>Access to this report and responsibility to third parties</w:t>
      </w:r>
    </w:p>
    <w:p w:rsidR="008F2360" w:rsidRPr="00751710" w:rsidRDefault="00B51F60" w:rsidP="008F2360">
      <w:pPr>
        <w:pStyle w:val="BodyText"/>
        <w:numPr>
          <w:ilvl w:val="1"/>
          <w:numId w:val="2"/>
        </w:numPr>
        <w:spacing w:before="120" w:after="120"/>
      </w:pPr>
      <w:r w:rsidRPr="00751710">
        <w:t xml:space="preserve">This report </w:t>
      </w:r>
      <w:r>
        <w:t xml:space="preserve">has been </w:t>
      </w:r>
      <w:r w:rsidRPr="00751710">
        <w:t xml:space="preserve">prepared solely for Lancashire County Council. </w:t>
      </w:r>
      <w:r>
        <w:t xml:space="preserve">It </w:t>
      </w:r>
      <w:r w:rsidRPr="00751710">
        <w:t xml:space="preserve">forms part of a continuing dialogue between </w:t>
      </w:r>
      <w:r>
        <w:t>the Internal Audit Service</w:t>
      </w:r>
      <w:r w:rsidRPr="00751710">
        <w:t xml:space="preserve">, the </w:t>
      </w:r>
      <w:r>
        <w:t>chief executive</w:t>
      </w:r>
      <w:r w:rsidRPr="00751710">
        <w:t xml:space="preserve">, Audit </w:t>
      </w:r>
      <w:r>
        <w:t xml:space="preserve">and Governance </w:t>
      </w:r>
      <w:r w:rsidRPr="00751710">
        <w:t>Committee and management</w:t>
      </w:r>
      <w:r>
        <w:t xml:space="preserve"> of the council</w:t>
      </w:r>
      <w:r w:rsidRPr="00751710">
        <w:t xml:space="preserve">. It is not therefore intended to include every matter that came to our attention during each internal audit </w:t>
      </w:r>
      <w:r>
        <w:t>assignment</w:t>
      </w:r>
      <w:r w:rsidRPr="00751710">
        <w:t>.</w:t>
      </w:r>
    </w:p>
    <w:p w:rsidR="008F2360" w:rsidRDefault="00B51F60" w:rsidP="008F2360">
      <w:pPr>
        <w:pStyle w:val="BodyText"/>
        <w:numPr>
          <w:ilvl w:val="1"/>
          <w:numId w:val="2"/>
        </w:numPr>
        <w:spacing w:before="120" w:after="120"/>
      </w:pPr>
      <w:r>
        <w:t>T</w:t>
      </w:r>
      <w:r w:rsidRPr="00751710">
        <w:t>his report may be made available to other parties, such as the external auditors</w:t>
      </w:r>
      <w:r>
        <w:t xml:space="preserve"> and BT Lancashire Services Ltd</w:t>
      </w:r>
      <w:r w:rsidRPr="00751710">
        <w:t xml:space="preserve">. </w:t>
      </w:r>
      <w:r>
        <w:t>However n</w:t>
      </w:r>
      <w:r w:rsidRPr="00751710">
        <w:t xml:space="preserve">o responsibility </w:t>
      </w:r>
      <w:r>
        <w:t xml:space="preserve">is accepted </w:t>
      </w:r>
      <w:r w:rsidRPr="00751710">
        <w:t xml:space="preserve">to any third party who may receive this report for any reliance that may </w:t>
      </w:r>
      <w:r>
        <w:t xml:space="preserve">be </w:t>
      </w:r>
      <w:r w:rsidRPr="00751710">
        <w:t>place</w:t>
      </w:r>
      <w:r>
        <w:t>d</w:t>
      </w:r>
      <w:r w:rsidRPr="00751710">
        <w:t xml:space="preserve"> on it and, in particular, the external auditors </w:t>
      </w:r>
      <w:r>
        <w:t>must</w:t>
      </w:r>
      <w:r w:rsidRPr="00751710">
        <w:t xml:space="preserve"> determine the </w:t>
      </w:r>
      <w:r>
        <w:t xml:space="preserve">reliance placed on the </w:t>
      </w:r>
      <w:r w:rsidRPr="00751710">
        <w:t>work</w:t>
      </w:r>
      <w:r>
        <w:t xml:space="preserve"> of the Internal Audit Service.</w:t>
      </w:r>
    </w:p>
    <w:p w:rsidR="008F2360" w:rsidRPr="008B1E51" w:rsidRDefault="00C6442D" w:rsidP="008B1E51">
      <w:pPr>
        <w:tabs>
          <w:tab w:val="left" w:pos="2666"/>
        </w:tabs>
      </w:pPr>
    </w:p>
    <w:sectPr w:rsidR="008F2360" w:rsidRPr="008B1E51" w:rsidSect="00864640">
      <w:headerReference w:type="default" r:id="rId18"/>
      <w:footerReference w:type="default" r:id="rId19"/>
      <w:pgSz w:w="11907" w:h="16840" w:code="9"/>
      <w:pgMar w:top="1440" w:right="1134" w:bottom="1077" w:left="1418" w:header="709" w:footer="5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DFF" w:rsidRDefault="00B51F60">
      <w:pPr>
        <w:spacing w:before="0" w:after="0"/>
      </w:pPr>
      <w:r>
        <w:separator/>
      </w:r>
    </w:p>
  </w:endnote>
  <w:endnote w:type="continuationSeparator" w:id="0">
    <w:p w:rsidR="008C7DFF" w:rsidRDefault="00B51F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AD" w:rsidRPr="002725CE" w:rsidRDefault="00B51F60">
    <w:pPr>
      <w:pStyle w:val="Footer"/>
      <w:framePr w:wrap="around" w:vAnchor="text" w:hAnchor="page" w:x="6118" w:y="202"/>
      <w:rPr>
        <w:rStyle w:val="PageNumber"/>
        <w:rFonts w:cs="Arial"/>
      </w:rPr>
    </w:pPr>
    <w:r w:rsidRPr="002725CE">
      <w:rPr>
        <w:rStyle w:val="PageNumber"/>
        <w:rFonts w:cs="Arial"/>
      </w:rPr>
      <w:fldChar w:fldCharType="begin"/>
    </w:r>
    <w:r w:rsidRPr="002725CE">
      <w:rPr>
        <w:rStyle w:val="PageNumber"/>
        <w:rFonts w:cs="Arial"/>
      </w:rPr>
      <w:instrText xml:space="preserve">PAGE  </w:instrText>
    </w:r>
    <w:r w:rsidRPr="002725CE">
      <w:rPr>
        <w:rStyle w:val="PageNumber"/>
        <w:rFonts w:cs="Arial"/>
      </w:rPr>
      <w:fldChar w:fldCharType="separate"/>
    </w:r>
    <w:r w:rsidR="00C6442D">
      <w:rPr>
        <w:rStyle w:val="PageNumber"/>
        <w:rFonts w:cs="Arial"/>
        <w:noProof/>
      </w:rPr>
      <w:t>5</w:t>
    </w:r>
    <w:r w:rsidRPr="002725CE">
      <w:rPr>
        <w:rStyle w:val="PageNumber"/>
        <w:rFonts w:cs="Arial"/>
      </w:rPr>
      <w:fldChar w:fldCharType="end"/>
    </w:r>
  </w:p>
  <w:p w:rsidR="00E724AD" w:rsidRDefault="00C6442D" w:rsidP="003D78D9">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AD" w:rsidRPr="00864640" w:rsidRDefault="00C6442D" w:rsidP="0086464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AD" w:rsidRPr="00864640" w:rsidRDefault="00B51F60" w:rsidP="00864640">
    <w:pPr>
      <w:pStyle w:val="Footer"/>
      <w:tabs>
        <w:tab w:val="clear" w:pos="4153"/>
        <w:tab w:val="clear" w:pos="8306"/>
        <w:tab w:val="right" w:pos="14317"/>
      </w:tabs>
      <w:jc w:val="center"/>
    </w:pPr>
    <w:r>
      <w:t xml:space="preserve">Appendix B: </w:t>
    </w:r>
    <w:sdt>
      <w:sdtPr>
        <w:id w:val="17225629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442D">
          <w:rPr>
            <w:noProof/>
          </w:rPr>
          <w:t>10</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631023"/>
      <w:docPartObj>
        <w:docPartGallery w:val="Page Numbers (Bottom of Page)"/>
        <w:docPartUnique/>
      </w:docPartObj>
    </w:sdtPr>
    <w:sdtEndPr>
      <w:rPr>
        <w:noProof/>
      </w:rPr>
    </w:sdtEndPr>
    <w:sdtContent>
      <w:p w:rsidR="00E724AD" w:rsidRPr="00864640" w:rsidRDefault="00B51F60" w:rsidP="00864640">
        <w:pPr>
          <w:pStyle w:val="Footer"/>
          <w:jc w:val="center"/>
        </w:pPr>
        <w:r>
          <w:t xml:space="preserve">Appendix C: </w:t>
        </w:r>
        <w:r>
          <w:fldChar w:fldCharType="begin"/>
        </w:r>
        <w:r>
          <w:instrText xml:space="preserve"> PAGE   \* MERGEFORMAT </w:instrText>
        </w:r>
        <w:r>
          <w:fldChar w:fldCharType="separate"/>
        </w:r>
        <w:r w:rsidR="00C6442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DFF" w:rsidRDefault="00B51F60">
      <w:pPr>
        <w:spacing w:before="0" w:after="0"/>
      </w:pPr>
      <w:r>
        <w:separator/>
      </w:r>
    </w:p>
  </w:footnote>
  <w:footnote w:type="continuationSeparator" w:id="0">
    <w:p w:rsidR="008C7DFF" w:rsidRDefault="00B51F6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AD" w:rsidRPr="008816D0" w:rsidRDefault="00B51F60" w:rsidP="00D7615F">
    <w:pPr>
      <w:pStyle w:val="Header"/>
      <w:tabs>
        <w:tab w:val="clear" w:pos="4153"/>
        <w:tab w:val="clear" w:pos="8306"/>
      </w:tabs>
      <w:rPr>
        <w:rFonts w:cs="Arial"/>
      </w:rPr>
    </w:pPr>
    <w:r w:rsidRPr="008816D0">
      <w:rPr>
        <w:rFonts w:cs="Arial"/>
      </w:rPr>
      <w:t xml:space="preserve">Lancashire </w:t>
    </w:r>
    <w:r>
      <w:rPr>
        <w:rFonts w:cs="Arial"/>
      </w:rPr>
      <w:t xml:space="preserve">County Council Internal </w:t>
    </w:r>
    <w:r w:rsidRPr="008816D0">
      <w:rPr>
        <w:rFonts w:cs="Arial"/>
      </w:rPr>
      <w:t>Audit Service</w:t>
    </w:r>
  </w:p>
  <w:p w:rsidR="00E724AD" w:rsidRDefault="00B51F60" w:rsidP="00D7615F">
    <w:pPr>
      <w:pStyle w:val="Header"/>
      <w:tabs>
        <w:tab w:val="clear" w:pos="4153"/>
        <w:tab w:val="clear" w:pos="8306"/>
      </w:tabs>
      <w:rPr>
        <w:rFonts w:cs="Arial"/>
      </w:rPr>
    </w:pPr>
    <w:r w:rsidRPr="008816D0">
      <w:rPr>
        <w:rFonts w:cs="Arial"/>
      </w:rPr>
      <w:t xml:space="preserve">Annual report </w:t>
    </w:r>
    <w:r>
      <w:rPr>
        <w:rFonts w:cs="Arial"/>
      </w:rPr>
      <w:t>for the year ended 31 March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AD" w:rsidRPr="00577030" w:rsidRDefault="00B51F60" w:rsidP="00577030">
    <w:pPr>
      <w:tabs>
        <w:tab w:val="left" w:pos="284"/>
      </w:tabs>
      <w:jc w:val="right"/>
      <w:rPr>
        <w:rFonts w:cs="Arial"/>
        <w:b/>
      </w:rPr>
    </w:pPr>
    <w:r w:rsidRPr="00354D2C">
      <w:rPr>
        <w:rFonts w:cs="Arial"/>
        <w:b/>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AD" w:rsidRPr="008816D0" w:rsidRDefault="00B51F60" w:rsidP="00D7615F">
    <w:pPr>
      <w:pStyle w:val="Header"/>
      <w:tabs>
        <w:tab w:val="clear" w:pos="4153"/>
        <w:tab w:val="clear" w:pos="8306"/>
        <w:tab w:val="right" w:pos="9356"/>
      </w:tabs>
      <w:rPr>
        <w:rFonts w:cs="Arial"/>
      </w:rPr>
    </w:pPr>
    <w:r w:rsidRPr="008816D0">
      <w:rPr>
        <w:rFonts w:cs="Arial"/>
      </w:rPr>
      <w:t xml:space="preserve">Lancashire </w:t>
    </w:r>
    <w:r>
      <w:rPr>
        <w:rFonts w:cs="Arial"/>
      </w:rPr>
      <w:t xml:space="preserve">County Council Internal </w:t>
    </w:r>
    <w:r w:rsidRPr="008816D0">
      <w:rPr>
        <w:rFonts w:cs="Arial"/>
      </w:rPr>
      <w:t>Audit Service</w:t>
    </w:r>
    <w:r>
      <w:rPr>
        <w:rFonts w:cs="Arial"/>
      </w:rPr>
      <w:tab/>
    </w:r>
  </w:p>
  <w:p w:rsidR="00E724AD" w:rsidRDefault="00B51F60">
    <w:pPr>
      <w:pStyle w:val="Header"/>
      <w:rPr>
        <w:rFonts w:cs="Arial"/>
      </w:rPr>
    </w:pPr>
    <w:r w:rsidRPr="008816D0">
      <w:rPr>
        <w:rFonts w:cs="Arial"/>
      </w:rPr>
      <w:t>Annual report for the year ended</w:t>
    </w:r>
    <w:r>
      <w:rPr>
        <w:rFonts w:cs="Arial"/>
      </w:rPr>
      <w:t xml:space="preserve"> 31 March 2017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AD" w:rsidRPr="008816D0" w:rsidRDefault="00B51F60" w:rsidP="006612D8">
    <w:pPr>
      <w:pStyle w:val="Header"/>
      <w:tabs>
        <w:tab w:val="clear" w:pos="4153"/>
        <w:tab w:val="clear" w:pos="8306"/>
        <w:tab w:val="right" w:pos="14459"/>
      </w:tabs>
      <w:rPr>
        <w:rFonts w:cs="Arial"/>
      </w:rPr>
    </w:pPr>
    <w:r w:rsidRPr="008816D0">
      <w:rPr>
        <w:rFonts w:cs="Arial"/>
      </w:rPr>
      <w:t xml:space="preserve">Lancashire </w:t>
    </w:r>
    <w:r>
      <w:rPr>
        <w:rFonts w:cs="Arial"/>
      </w:rPr>
      <w:t xml:space="preserve">County Council Internal </w:t>
    </w:r>
    <w:r w:rsidRPr="008816D0">
      <w:rPr>
        <w:rFonts w:cs="Arial"/>
      </w:rPr>
      <w:t>Audit Service</w:t>
    </w:r>
    <w:r>
      <w:rPr>
        <w:rFonts w:cs="Arial"/>
      </w:rPr>
      <w:tab/>
    </w:r>
    <w:r>
      <w:rPr>
        <w:rFonts w:cs="Arial"/>
        <w:b/>
      </w:rPr>
      <w:t>Appendix B</w:t>
    </w:r>
  </w:p>
  <w:p w:rsidR="00E724AD" w:rsidRDefault="00B51F60">
    <w:pPr>
      <w:pStyle w:val="Header"/>
      <w:rPr>
        <w:rFonts w:cs="Arial"/>
      </w:rPr>
    </w:pPr>
    <w:r w:rsidRPr="008816D0">
      <w:rPr>
        <w:rFonts w:cs="Arial"/>
      </w:rPr>
      <w:t>Annual report for the year ended</w:t>
    </w:r>
    <w:r>
      <w:rPr>
        <w:rFonts w:cs="Arial"/>
      </w:rPr>
      <w:t xml:space="preserve"> 31 March 2017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AD" w:rsidRPr="008816D0" w:rsidRDefault="00B51F60" w:rsidP="00D7615F">
    <w:pPr>
      <w:pStyle w:val="Header"/>
      <w:tabs>
        <w:tab w:val="clear" w:pos="4153"/>
        <w:tab w:val="clear" w:pos="8306"/>
        <w:tab w:val="right" w:pos="9356"/>
      </w:tabs>
      <w:rPr>
        <w:rFonts w:cs="Arial"/>
      </w:rPr>
    </w:pPr>
    <w:r w:rsidRPr="008816D0">
      <w:rPr>
        <w:rFonts w:cs="Arial"/>
      </w:rPr>
      <w:t xml:space="preserve">Lancashire </w:t>
    </w:r>
    <w:r>
      <w:rPr>
        <w:rFonts w:cs="Arial"/>
      </w:rPr>
      <w:t xml:space="preserve">County Council Internal </w:t>
    </w:r>
    <w:r w:rsidRPr="008816D0">
      <w:rPr>
        <w:rFonts w:cs="Arial"/>
      </w:rPr>
      <w:t>Audit Service</w:t>
    </w:r>
    <w:r>
      <w:rPr>
        <w:rFonts w:cs="Arial"/>
      </w:rPr>
      <w:tab/>
    </w:r>
    <w:r w:rsidRPr="00B82F72">
      <w:rPr>
        <w:rFonts w:cs="Arial"/>
        <w:b/>
      </w:rPr>
      <w:t>A</w:t>
    </w:r>
    <w:r>
      <w:rPr>
        <w:rFonts w:cs="Arial"/>
        <w:b/>
      </w:rPr>
      <w:t>ppendix C</w:t>
    </w:r>
  </w:p>
  <w:p w:rsidR="00E724AD" w:rsidRDefault="00B51F60">
    <w:pPr>
      <w:pStyle w:val="Header"/>
      <w:rPr>
        <w:rFonts w:cs="Arial"/>
      </w:rPr>
    </w:pPr>
    <w:r w:rsidRPr="008816D0">
      <w:rPr>
        <w:rFonts w:cs="Arial"/>
      </w:rPr>
      <w:t>Annual report for the year ended</w:t>
    </w:r>
    <w:r>
      <w:rPr>
        <w:rFonts w:cs="Arial"/>
      </w:rPr>
      <w:t xml:space="preserve"> 31 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 w15:restartNumberingAfterBreak="0">
    <w:nsid w:val="1B430428"/>
    <w:multiLevelType w:val="hybridMultilevel"/>
    <w:tmpl w:val="8C8EA9C0"/>
    <w:lvl w:ilvl="0" w:tplc="B1521FF0">
      <w:start w:val="1"/>
      <w:numFmt w:val="bullet"/>
      <w:pStyle w:val="Ruth-bullet"/>
      <w:lvlText w:val=""/>
      <w:lvlJc w:val="left"/>
      <w:pPr>
        <w:ind w:left="720" w:hanging="360"/>
      </w:pPr>
      <w:rPr>
        <w:rFonts w:ascii="Symbol" w:hAnsi="Symbol" w:hint="default"/>
      </w:rPr>
    </w:lvl>
    <w:lvl w:ilvl="1" w:tplc="9F4244B8" w:tentative="1">
      <w:start w:val="1"/>
      <w:numFmt w:val="bullet"/>
      <w:lvlText w:val="o"/>
      <w:lvlJc w:val="left"/>
      <w:pPr>
        <w:ind w:left="1440" w:hanging="360"/>
      </w:pPr>
      <w:rPr>
        <w:rFonts w:ascii="Courier New" w:hAnsi="Courier New" w:hint="default"/>
      </w:rPr>
    </w:lvl>
    <w:lvl w:ilvl="2" w:tplc="BDF606FE" w:tentative="1">
      <w:start w:val="1"/>
      <w:numFmt w:val="bullet"/>
      <w:lvlText w:val=""/>
      <w:lvlJc w:val="left"/>
      <w:pPr>
        <w:ind w:left="2160" w:hanging="360"/>
      </w:pPr>
      <w:rPr>
        <w:rFonts w:ascii="Wingdings" w:hAnsi="Wingdings" w:hint="default"/>
      </w:rPr>
    </w:lvl>
    <w:lvl w:ilvl="3" w:tplc="83FA734C" w:tentative="1">
      <w:start w:val="1"/>
      <w:numFmt w:val="bullet"/>
      <w:lvlText w:val=""/>
      <w:lvlJc w:val="left"/>
      <w:pPr>
        <w:ind w:left="2880" w:hanging="360"/>
      </w:pPr>
      <w:rPr>
        <w:rFonts w:ascii="Symbol" w:hAnsi="Symbol" w:hint="default"/>
      </w:rPr>
    </w:lvl>
    <w:lvl w:ilvl="4" w:tplc="85E04F6C" w:tentative="1">
      <w:start w:val="1"/>
      <w:numFmt w:val="bullet"/>
      <w:lvlText w:val="o"/>
      <w:lvlJc w:val="left"/>
      <w:pPr>
        <w:ind w:left="3600" w:hanging="360"/>
      </w:pPr>
      <w:rPr>
        <w:rFonts w:ascii="Courier New" w:hAnsi="Courier New" w:hint="default"/>
      </w:rPr>
    </w:lvl>
    <w:lvl w:ilvl="5" w:tplc="30AA343A" w:tentative="1">
      <w:start w:val="1"/>
      <w:numFmt w:val="bullet"/>
      <w:lvlText w:val=""/>
      <w:lvlJc w:val="left"/>
      <w:pPr>
        <w:ind w:left="4320" w:hanging="360"/>
      </w:pPr>
      <w:rPr>
        <w:rFonts w:ascii="Wingdings" w:hAnsi="Wingdings" w:hint="default"/>
      </w:rPr>
    </w:lvl>
    <w:lvl w:ilvl="6" w:tplc="FD6E1C84" w:tentative="1">
      <w:start w:val="1"/>
      <w:numFmt w:val="bullet"/>
      <w:lvlText w:val=""/>
      <w:lvlJc w:val="left"/>
      <w:pPr>
        <w:ind w:left="5040" w:hanging="360"/>
      </w:pPr>
      <w:rPr>
        <w:rFonts w:ascii="Symbol" w:hAnsi="Symbol" w:hint="default"/>
      </w:rPr>
    </w:lvl>
    <w:lvl w:ilvl="7" w:tplc="46A8128A" w:tentative="1">
      <w:start w:val="1"/>
      <w:numFmt w:val="bullet"/>
      <w:lvlText w:val="o"/>
      <w:lvlJc w:val="left"/>
      <w:pPr>
        <w:ind w:left="5760" w:hanging="360"/>
      </w:pPr>
      <w:rPr>
        <w:rFonts w:ascii="Courier New" w:hAnsi="Courier New" w:hint="default"/>
      </w:rPr>
    </w:lvl>
    <w:lvl w:ilvl="8" w:tplc="A98032D6" w:tentative="1">
      <w:start w:val="1"/>
      <w:numFmt w:val="bullet"/>
      <w:lvlText w:val=""/>
      <w:lvlJc w:val="left"/>
      <w:pPr>
        <w:ind w:left="6480" w:hanging="360"/>
      </w:pPr>
      <w:rPr>
        <w:rFonts w:ascii="Wingdings" w:hAnsi="Wingdings" w:hint="default"/>
      </w:rPr>
    </w:lvl>
  </w:abstractNum>
  <w:abstractNum w:abstractNumId="2" w15:restartNumberingAfterBreak="0">
    <w:nsid w:val="31CE6C66"/>
    <w:multiLevelType w:val="hybridMultilevel"/>
    <w:tmpl w:val="86EEF170"/>
    <w:lvl w:ilvl="0" w:tplc="705AA338">
      <w:start w:val="1"/>
      <w:numFmt w:val="bullet"/>
      <w:lvlText w:val=""/>
      <w:lvlJc w:val="left"/>
      <w:pPr>
        <w:ind w:left="1571" w:hanging="360"/>
      </w:pPr>
      <w:rPr>
        <w:rFonts w:ascii="Symbol" w:hAnsi="Symbol" w:hint="default"/>
      </w:rPr>
    </w:lvl>
    <w:lvl w:ilvl="1" w:tplc="2BA820E8" w:tentative="1">
      <w:start w:val="1"/>
      <w:numFmt w:val="bullet"/>
      <w:lvlText w:val="o"/>
      <w:lvlJc w:val="left"/>
      <w:pPr>
        <w:ind w:left="2291" w:hanging="360"/>
      </w:pPr>
      <w:rPr>
        <w:rFonts w:ascii="Courier New" w:hAnsi="Courier New" w:cs="Courier New" w:hint="default"/>
      </w:rPr>
    </w:lvl>
    <w:lvl w:ilvl="2" w:tplc="B56EE10E" w:tentative="1">
      <w:start w:val="1"/>
      <w:numFmt w:val="bullet"/>
      <w:lvlText w:val=""/>
      <w:lvlJc w:val="left"/>
      <w:pPr>
        <w:ind w:left="3011" w:hanging="360"/>
      </w:pPr>
      <w:rPr>
        <w:rFonts w:ascii="Wingdings" w:hAnsi="Wingdings" w:hint="default"/>
      </w:rPr>
    </w:lvl>
    <w:lvl w:ilvl="3" w:tplc="58588366" w:tentative="1">
      <w:start w:val="1"/>
      <w:numFmt w:val="bullet"/>
      <w:lvlText w:val=""/>
      <w:lvlJc w:val="left"/>
      <w:pPr>
        <w:ind w:left="3731" w:hanging="360"/>
      </w:pPr>
      <w:rPr>
        <w:rFonts w:ascii="Symbol" w:hAnsi="Symbol" w:hint="default"/>
      </w:rPr>
    </w:lvl>
    <w:lvl w:ilvl="4" w:tplc="514E9E5A" w:tentative="1">
      <w:start w:val="1"/>
      <w:numFmt w:val="bullet"/>
      <w:lvlText w:val="o"/>
      <w:lvlJc w:val="left"/>
      <w:pPr>
        <w:ind w:left="4451" w:hanging="360"/>
      </w:pPr>
      <w:rPr>
        <w:rFonts w:ascii="Courier New" w:hAnsi="Courier New" w:cs="Courier New" w:hint="default"/>
      </w:rPr>
    </w:lvl>
    <w:lvl w:ilvl="5" w:tplc="8F18F258" w:tentative="1">
      <w:start w:val="1"/>
      <w:numFmt w:val="bullet"/>
      <w:lvlText w:val=""/>
      <w:lvlJc w:val="left"/>
      <w:pPr>
        <w:ind w:left="5171" w:hanging="360"/>
      </w:pPr>
      <w:rPr>
        <w:rFonts w:ascii="Wingdings" w:hAnsi="Wingdings" w:hint="default"/>
      </w:rPr>
    </w:lvl>
    <w:lvl w:ilvl="6" w:tplc="B990527A" w:tentative="1">
      <w:start w:val="1"/>
      <w:numFmt w:val="bullet"/>
      <w:lvlText w:val=""/>
      <w:lvlJc w:val="left"/>
      <w:pPr>
        <w:ind w:left="5891" w:hanging="360"/>
      </w:pPr>
      <w:rPr>
        <w:rFonts w:ascii="Symbol" w:hAnsi="Symbol" w:hint="default"/>
      </w:rPr>
    </w:lvl>
    <w:lvl w:ilvl="7" w:tplc="A8B490D6" w:tentative="1">
      <w:start w:val="1"/>
      <w:numFmt w:val="bullet"/>
      <w:lvlText w:val="o"/>
      <w:lvlJc w:val="left"/>
      <w:pPr>
        <w:ind w:left="6611" w:hanging="360"/>
      </w:pPr>
      <w:rPr>
        <w:rFonts w:ascii="Courier New" w:hAnsi="Courier New" w:cs="Courier New" w:hint="default"/>
      </w:rPr>
    </w:lvl>
    <w:lvl w:ilvl="8" w:tplc="0FA6BDFA" w:tentative="1">
      <w:start w:val="1"/>
      <w:numFmt w:val="bullet"/>
      <w:lvlText w:val=""/>
      <w:lvlJc w:val="left"/>
      <w:pPr>
        <w:ind w:left="7331" w:hanging="360"/>
      </w:pPr>
      <w:rPr>
        <w:rFonts w:ascii="Wingdings" w:hAnsi="Wingdings" w:hint="default"/>
      </w:rPr>
    </w:lvl>
  </w:abstractNum>
  <w:abstractNum w:abstractNumId="3" w15:restartNumberingAfterBreak="0">
    <w:nsid w:val="3CDC74B4"/>
    <w:multiLevelType w:val="multilevel"/>
    <w:tmpl w:val="71A684E0"/>
    <w:lvl w:ilvl="0">
      <w:start w:val="1"/>
      <w:numFmt w:val="decimal"/>
      <w:pStyle w:val="Ruth-headingnumbered"/>
      <w:lvlText w:val="%1."/>
      <w:lvlJc w:val="left"/>
      <w:pPr>
        <w:ind w:left="360" w:hanging="360"/>
      </w:pPr>
      <w:rPr>
        <w:rFonts w:cs="Times New Roman"/>
      </w:rPr>
    </w:lvl>
    <w:lvl w:ilvl="1">
      <w:start w:val="1"/>
      <w:numFmt w:val="decimal"/>
      <w:pStyle w:val="Ruth-numberedparargraph"/>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6" w15:restartNumberingAfterBreak="0">
    <w:nsid w:val="5B0771DB"/>
    <w:multiLevelType w:val="multilevel"/>
    <w:tmpl w:val="B0EA7440"/>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Ruthsbulletpoin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773C0F52"/>
    <w:multiLevelType w:val="hybridMultilevel"/>
    <w:tmpl w:val="0F9E62FC"/>
    <w:lvl w:ilvl="0" w:tplc="016CD512">
      <w:start w:val="1"/>
      <w:numFmt w:val="bullet"/>
      <w:lvlText w:val=""/>
      <w:lvlJc w:val="left"/>
      <w:pPr>
        <w:ind w:left="1571" w:hanging="360"/>
      </w:pPr>
      <w:rPr>
        <w:rFonts w:ascii="Symbol" w:hAnsi="Symbol" w:hint="default"/>
      </w:rPr>
    </w:lvl>
    <w:lvl w:ilvl="1" w:tplc="AB463A76" w:tentative="1">
      <w:start w:val="1"/>
      <w:numFmt w:val="bullet"/>
      <w:lvlText w:val="o"/>
      <w:lvlJc w:val="left"/>
      <w:pPr>
        <w:ind w:left="2291" w:hanging="360"/>
      </w:pPr>
      <w:rPr>
        <w:rFonts w:ascii="Courier New" w:hAnsi="Courier New" w:cs="Courier New" w:hint="default"/>
      </w:rPr>
    </w:lvl>
    <w:lvl w:ilvl="2" w:tplc="21A4D8E0" w:tentative="1">
      <w:start w:val="1"/>
      <w:numFmt w:val="bullet"/>
      <w:lvlText w:val=""/>
      <w:lvlJc w:val="left"/>
      <w:pPr>
        <w:ind w:left="3011" w:hanging="360"/>
      </w:pPr>
      <w:rPr>
        <w:rFonts w:ascii="Wingdings" w:hAnsi="Wingdings" w:hint="default"/>
      </w:rPr>
    </w:lvl>
    <w:lvl w:ilvl="3" w:tplc="87BE2512" w:tentative="1">
      <w:start w:val="1"/>
      <w:numFmt w:val="bullet"/>
      <w:lvlText w:val=""/>
      <w:lvlJc w:val="left"/>
      <w:pPr>
        <w:ind w:left="3731" w:hanging="360"/>
      </w:pPr>
      <w:rPr>
        <w:rFonts w:ascii="Symbol" w:hAnsi="Symbol" w:hint="default"/>
      </w:rPr>
    </w:lvl>
    <w:lvl w:ilvl="4" w:tplc="899CC5EE" w:tentative="1">
      <w:start w:val="1"/>
      <w:numFmt w:val="bullet"/>
      <w:lvlText w:val="o"/>
      <w:lvlJc w:val="left"/>
      <w:pPr>
        <w:ind w:left="4451" w:hanging="360"/>
      </w:pPr>
      <w:rPr>
        <w:rFonts w:ascii="Courier New" w:hAnsi="Courier New" w:cs="Courier New" w:hint="default"/>
      </w:rPr>
    </w:lvl>
    <w:lvl w:ilvl="5" w:tplc="D09212A2" w:tentative="1">
      <w:start w:val="1"/>
      <w:numFmt w:val="bullet"/>
      <w:lvlText w:val=""/>
      <w:lvlJc w:val="left"/>
      <w:pPr>
        <w:ind w:left="5171" w:hanging="360"/>
      </w:pPr>
      <w:rPr>
        <w:rFonts w:ascii="Wingdings" w:hAnsi="Wingdings" w:hint="default"/>
      </w:rPr>
    </w:lvl>
    <w:lvl w:ilvl="6" w:tplc="3FC60766" w:tentative="1">
      <w:start w:val="1"/>
      <w:numFmt w:val="bullet"/>
      <w:lvlText w:val=""/>
      <w:lvlJc w:val="left"/>
      <w:pPr>
        <w:ind w:left="5891" w:hanging="360"/>
      </w:pPr>
      <w:rPr>
        <w:rFonts w:ascii="Symbol" w:hAnsi="Symbol" w:hint="default"/>
      </w:rPr>
    </w:lvl>
    <w:lvl w:ilvl="7" w:tplc="105E3A64" w:tentative="1">
      <w:start w:val="1"/>
      <w:numFmt w:val="bullet"/>
      <w:lvlText w:val="o"/>
      <w:lvlJc w:val="left"/>
      <w:pPr>
        <w:ind w:left="6611" w:hanging="360"/>
      </w:pPr>
      <w:rPr>
        <w:rFonts w:ascii="Courier New" w:hAnsi="Courier New" w:cs="Courier New" w:hint="default"/>
      </w:rPr>
    </w:lvl>
    <w:lvl w:ilvl="8" w:tplc="75CC7830" w:tentative="1">
      <w:start w:val="1"/>
      <w:numFmt w:val="bullet"/>
      <w:lvlText w:val=""/>
      <w:lvlJc w:val="left"/>
      <w:pPr>
        <w:ind w:left="7331" w:hanging="360"/>
      </w:pPr>
      <w:rPr>
        <w:rFonts w:ascii="Wingdings" w:hAnsi="Wingdings" w:hint="default"/>
      </w:rPr>
    </w:lvl>
  </w:abstractNum>
  <w:abstractNum w:abstractNumId="9"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482834"/>
    <w:multiLevelType w:val="hybridMultilevel"/>
    <w:tmpl w:val="4C0E2C82"/>
    <w:lvl w:ilvl="0" w:tplc="2B32901E">
      <w:start w:val="1"/>
      <w:numFmt w:val="bullet"/>
      <w:lvlText w:val=""/>
      <w:lvlJc w:val="left"/>
      <w:pPr>
        <w:ind w:left="1571" w:hanging="360"/>
      </w:pPr>
      <w:rPr>
        <w:rFonts w:ascii="Symbol" w:hAnsi="Symbol" w:hint="default"/>
      </w:rPr>
    </w:lvl>
    <w:lvl w:ilvl="1" w:tplc="65FA9012" w:tentative="1">
      <w:start w:val="1"/>
      <w:numFmt w:val="bullet"/>
      <w:lvlText w:val="o"/>
      <w:lvlJc w:val="left"/>
      <w:pPr>
        <w:ind w:left="2291" w:hanging="360"/>
      </w:pPr>
      <w:rPr>
        <w:rFonts w:ascii="Courier New" w:hAnsi="Courier New" w:cs="Courier New" w:hint="default"/>
      </w:rPr>
    </w:lvl>
    <w:lvl w:ilvl="2" w:tplc="9EA80E7C" w:tentative="1">
      <w:start w:val="1"/>
      <w:numFmt w:val="bullet"/>
      <w:lvlText w:val=""/>
      <w:lvlJc w:val="left"/>
      <w:pPr>
        <w:ind w:left="3011" w:hanging="360"/>
      </w:pPr>
      <w:rPr>
        <w:rFonts w:ascii="Wingdings" w:hAnsi="Wingdings" w:hint="default"/>
      </w:rPr>
    </w:lvl>
    <w:lvl w:ilvl="3" w:tplc="FE5CCF3E" w:tentative="1">
      <w:start w:val="1"/>
      <w:numFmt w:val="bullet"/>
      <w:lvlText w:val=""/>
      <w:lvlJc w:val="left"/>
      <w:pPr>
        <w:ind w:left="3731" w:hanging="360"/>
      </w:pPr>
      <w:rPr>
        <w:rFonts w:ascii="Symbol" w:hAnsi="Symbol" w:hint="default"/>
      </w:rPr>
    </w:lvl>
    <w:lvl w:ilvl="4" w:tplc="0B561BC4" w:tentative="1">
      <w:start w:val="1"/>
      <w:numFmt w:val="bullet"/>
      <w:lvlText w:val="o"/>
      <w:lvlJc w:val="left"/>
      <w:pPr>
        <w:ind w:left="4451" w:hanging="360"/>
      </w:pPr>
      <w:rPr>
        <w:rFonts w:ascii="Courier New" w:hAnsi="Courier New" w:cs="Courier New" w:hint="default"/>
      </w:rPr>
    </w:lvl>
    <w:lvl w:ilvl="5" w:tplc="8D7423CE" w:tentative="1">
      <w:start w:val="1"/>
      <w:numFmt w:val="bullet"/>
      <w:lvlText w:val=""/>
      <w:lvlJc w:val="left"/>
      <w:pPr>
        <w:ind w:left="5171" w:hanging="360"/>
      </w:pPr>
      <w:rPr>
        <w:rFonts w:ascii="Wingdings" w:hAnsi="Wingdings" w:hint="default"/>
      </w:rPr>
    </w:lvl>
    <w:lvl w:ilvl="6" w:tplc="ED8CC98C" w:tentative="1">
      <w:start w:val="1"/>
      <w:numFmt w:val="bullet"/>
      <w:lvlText w:val=""/>
      <w:lvlJc w:val="left"/>
      <w:pPr>
        <w:ind w:left="5891" w:hanging="360"/>
      </w:pPr>
      <w:rPr>
        <w:rFonts w:ascii="Symbol" w:hAnsi="Symbol" w:hint="default"/>
      </w:rPr>
    </w:lvl>
    <w:lvl w:ilvl="7" w:tplc="BD0ABC4C" w:tentative="1">
      <w:start w:val="1"/>
      <w:numFmt w:val="bullet"/>
      <w:lvlText w:val="o"/>
      <w:lvlJc w:val="left"/>
      <w:pPr>
        <w:ind w:left="6611" w:hanging="360"/>
      </w:pPr>
      <w:rPr>
        <w:rFonts w:ascii="Courier New" w:hAnsi="Courier New" w:cs="Courier New" w:hint="default"/>
      </w:rPr>
    </w:lvl>
    <w:lvl w:ilvl="8" w:tplc="36304B2A" w:tentative="1">
      <w:start w:val="1"/>
      <w:numFmt w:val="bullet"/>
      <w:lvlText w:val=""/>
      <w:lvlJc w:val="left"/>
      <w:pPr>
        <w:ind w:left="7331" w:hanging="360"/>
      </w:pPr>
      <w:rPr>
        <w:rFonts w:ascii="Wingdings" w:hAnsi="Wingdings" w:hint="default"/>
      </w:rPr>
    </w:lvl>
  </w:abstractNum>
  <w:abstractNum w:abstractNumId="11" w15:restartNumberingAfterBreak="0">
    <w:nsid w:val="7DCF4B25"/>
    <w:multiLevelType w:val="hybridMultilevel"/>
    <w:tmpl w:val="1B981436"/>
    <w:lvl w:ilvl="0" w:tplc="2EE09C80">
      <w:start w:val="1"/>
      <w:numFmt w:val="decimal"/>
      <w:lvlText w:val="%1."/>
      <w:lvlJc w:val="left"/>
      <w:pPr>
        <w:ind w:left="720" w:hanging="360"/>
      </w:pPr>
      <w:rPr>
        <w:rFonts w:hint="default"/>
      </w:rPr>
    </w:lvl>
    <w:lvl w:ilvl="1" w:tplc="4C304DF4" w:tentative="1">
      <w:start w:val="1"/>
      <w:numFmt w:val="lowerLetter"/>
      <w:lvlText w:val="%2."/>
      <w:lvlJc w:val="left"/>
      <w:pPr>
        <w:ind w:left="1440" w:hanging="360"/>
      </w:pPr>
    </w:lvl>
    <w:lvl w:ilvl="2" w:tplc="E7D4315A" w:tentative="1">
      <w:start w:val="1"/>
      <w:numFmt w:val="lowerRoman"/>
      <w:lvlText w:val="%3."/>
      <w:lvlJc w:val="right"/>
      <w:pPr>
        <w:ind w:left="2160" w:hanging="180"/>
      </w:pPr>
    </w:lvl>
    <w:lvl w:ilvl="3" w:tplc="99C21C72" w:tentative="1">
      <w:start w:val="1"/>
      <w:numFmt w:val="decimal"/>
      <w:lvlText w:val="%4."/>
      <w:lvlJc w:val="left"/>
      <w:pPr>
        <w:ind w:left="2880" w:hanging="360"/>
      </w:pPr>
    </w:lvl>
    <w:lvl w:ilvl="4" w:tplc="AE7414A4" w:tentative="1">
      <w:start w:val="1"/>
      <w:numFmt w:val="lowerLetter"/>
      <w:lvlText w:val="%5."/>
      <w:lvlJc w:val="left"/>
      <w:pPr>
        <w:ind w:left="3600" w:hanging="360"/>
      </w:pPr>
    </w:lvl>
    <w:lvl w:ilvl="5" w:tplc="3A2E7CD2" w:tentative="1">
      <w:start w:val="1"/>
      <w:numFmt w:val="lowerRoman"/>
      <w:lvlText w:val="%6."/>
      <w:lvlJc w:val="right"/>
      <w:pPr>
        <w:ind w:left="4320" w:hanging="180"/>
      </w:pPr>
    </w:lvl>
    <w:lvl w:ilvl="6" w:tplc="0A748864" w:tentative="1">
      <w:start w:val="1"/>
      <w:numFmt w:val="decimal"/>
      <w:lvlText w:val="%7."/>
      <w:lvlJc w:val="left"/>
      <w:pPr>
        <w:ind w:left="5040" w:hanging="360"/>
      </w:pPr>
    </w:lvl>
    <w:lvl w:ilvl="7" w:tplc="EF2E5D10" w:tentative="1">
      <w:start w:val="1"/>
      <w:numFmt w:val="lowerLetter"/>
      <w:lvlText w:val="%8."/>
      <w:lvlJc w:val="left"/>
      <w:pPr>
        <w:ind w:left="5760" w:hanging="360"/>
      </w:pPr>
    </w:lvl>
    <w:lvl w:ilvl="8" w:tplc="8C449D50"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4"/>
  </w:num>
  <w:num w:numId="6">
    <w:abstractNumId w:val="3"/>
  </w:num>
  <w:num w:numId="7">
    <w:abstractNumId w:val="1"/>
  </w:num>
  <w:num w:numId="8">
    <w:abstractNumId w:val="8"/>
  </w:num>
  <w:num w:numId="9">
    <w:abstractNumId w:val="11"/>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6E"/>
    <w:rsid w:val="008C7DFF"/>
    <w:rsid w:val="00950C6E"/>
    <w:rsid w:val="00B51F60"/>
    <w:rsid w:val="00C6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C72CB649-2193-4708-AC87-70B91A6B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D57"/>
    <w:pPr>
      <w:spacing w:before="60" w:after="60"/>
    </w:pPr>
    <w:rPr>
      <w:rFonts w:ascii="Arial" w:hAnsi="Arial"/>
      <w:sz w:val="24"/>
      <w:szCs w:val="24"/>
    </w:rPr>
  </w:style>
  <w:style w:type="paragraph" w:styleId="Heading1">
    <w:name w:val="heading 1"/>
    <w:basedOn w:val="Normal"/>
    <w:next w:val="Heading2"/>
    <w:link w:val="Heading1Char"/>
    <w:uiPriority w:val="99"/>
    <w:qFormat/>
    <w:rsid w:val="009419F7"/>
    <w:pPr>
      <w:keepNext/>
      <w:spacing w:before="240"/>
      <w:outlineLvl w:val="0"/>
    </w:pPr>
    <w:rPr>
      <w:rFonts w:ascii="Cambria" w:hAnsi="Cambria"/>
      <w:b/>
      <w:bCs/>
      <w:kern w:val="32"/>
      <w:sz w:val="32"/>
      <w:szCs w:val="32"/>
    </w:rPr>
  </w:style>
  <w:style w:type="paragraph" w:styleId="Heading2">
    <w:name w:val="heading 2"/>
    <w:basedOn w:val="Normal"/>
    <w:next w:val="BodyText"/>
    <w:link w:val="Heading2Char"/>
    <w:uiPriority w:val="99"/>
    <w:qFormat/>
    <w:rsid w:val="009419F7"/>
    <w:pPr>
      <w:keepNext/>
      <w:spacing w:before="240"/>
      <w:outlineLvl w:val="1"/>
    </w:pPr>
    <w:rPr>
      <w:rFonts w:ascii="Cambria" w:hAnsi="Cambria"/>
      <w:b/>
      <w:bCs/>
      <w:i/>
      <w:iCs/>
      <w:sz w:val="28"/>
      <w:szCs w:val="28"/>
    </w:rPr>
  </w:style>
  <w:style w:type="paragraph" w:styleId="Heading3">
    <w:name w:val="heading 3"/>
    <w:basedOn w:val="Normal"/>
    <w:next w:val="BodyText"/>
    <w:link w:val="Heading3Char"/>
    <w:uiPriority w:val="99"/>
    <w:qFormat/>
    <w:rsid w:val="009419F7"/>
    <w:pPr>
      <w:keepNext/>
      <w:spacing w:before="240"/>
      <w:outlineLvl w:val="2"/>
    </w:pPr>
    <w:rPr>
      <w:rFonts w:ascii="Cambria" w:hAnsi="Cambria"/>
      <w:b/>
      <w:bCs/>
      <w:sz w:val="26"/>
      <w:szCs w:val="26"/>
    </w:rPr>
  </w:style>
  <w:style w:type="paragraph" w:styleId="Heading4">
    <w:name w:val="heading 4"/>
    <w:basedOn w:val="Normal"/>
    <w:next w:val="BodyText"/>
    <w:link w:val="Heading4Char"/>
    <w:uiPriority w:val="99"/>
    <w:qFormat/>
    <w:rsid w:val="009419F7"/>
    <w:pPr>
      <w:keepNext/>
      <w:spacing w:before="240"/>
      <w:outlineLvl w:val="3"/>
    </w:pPr>
    <w:rPr>
      <w:rFonts w:ascii="Calibri" w:hAnsi="Calibri"/>
      <w:b/>
      <w:bCs/>
      <w:sz w:val="28"/>
      <w:szCs w:val="28"/>
    </w:rPr>
  </w:style>
  <w:style w:type="paragraph" w:styleId="Heading5">
    <w:name w:val="heading 5"/>
    <w:basedOn w:val="Normal"/>
    <w:next w:val="BodyText"/>
    <w:link w:val="Heading5Char"/>
    <w:uiPriority w:val="99"/>
    <w:qFormat/>
    <w:rsid w:val="009419F7"/>
    <w:pPr>
      <w:spacing w:before="240"/>
      <w:outlineLvl w:val="4"/>
    </w:pPr>
    <w:rPr>
      <w:rFonts w:ascii="Calibri" w:hAnsi="Calibri"/>
      <w:b/>
      <w:bCs/>
      <w:i/>
      <w:iCs/>
      <w:sz w:val="26"/>
      <w:szCs w:val="26"/>
    </w:rPr>
  </w:style>
  <w:style w:type="paragraph" w:styleId="Heading6">
    <w:name w:val="heading 6"/>
    <w:basedOn w:val="Normal"/>
    <w:next w:val="BodyText"/>
    <w:link w:val="Heading6Char"/>
    <w:uiPriority w:val="99"/>
    <w:qFormat/>
    <w:rsid w:val="009419F7"/>
    <w:pPr>
      <w:spacing w:before="240"/>
      <w:outlineLvl w:val="5"/>
    </w:pPr>
    <w:rPr>
      <w:rFonts w:ascii="Calibri" w:hAnsi="Calibri"/>
      <w:b/>
      <w:bCs/>
      <w:sz w:val="22"/>
      <w:szCs w:val="22"/>
    </w:rPr>
  </w:style>
  <w:style w:type="paragraph" w:styleId="Heading7">
    <w:name w:val="heading 7"/>
    <w:basedOn w:val="Normal"/>
    <w:next w:val="BodyText"/>
    <w:link w:val="Heading7Char"/>
    <w:uiPriority w:val="99"/>
    <w:qFormat/>
    <w:rsid w:val="009419F7"/>
    <w:pPr>
      <w:spacing w:before="240"/>
      <w:outlineLvl w:val="6"/>
    </w:pPr>
    <w:rPr>
      <w:rFonts w:ascii="Calibri" w:hAnsi="Calibri"/>
    </w:rPr>
  </w:style>
  <w:style w:type="paragraph" w:styleId="Heading8">
    <w:name w:val="heading 8"/>
    <w:basedOn w:val="Normal"/>
    <w:next w:val="BodyText"/>
    <w:link w:val="Heading8Char"/>
    <w:uiPriority w:val="99"/>
    <w:qFormat/>
    <w:rsid w:val="009419F7"/>
    <w:pPr>
      <w:spacing w:before="240"/>
      <w:outlineLvl w:val="7"/>
    </w:pPr>
    <w:rPr>
      <w:rFonts w:ascii="Calibri" w:hAnsi="Calibri"/>
      <w:i/>
      <w:iCs/>
    </w:rPr>
  </w:style>
  <w:style w:type="paragraph" w:styleId="Heading9">
    <w:name w:val="heading 9"/>
    <w:basedOn w:val="Normal"/>
    <w:next w:val="BodyText"/>
    <w:link w:val="Heading9Char"/>
    <w:uiPriority w:val="99"/>
    <w:qFormat/>
    <w:rsid w:val="009419F7"/>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19F7"/>
    <w:pPr>
      <w:spacing w:after="260"/>
    </w:pPr>
  </w:style>
  <w:style w:type="character" w:customStyle="1" w:styleId="BodyTextChar">
    <w:name w:val="Body Text Char"/>
    <w:basedOn w:val="DefaultParagraphFont"/>
    <w:link w:val="BodyText"/>
    <w:uiPriority w:val="99"/>
    <w:locked/>
    <w:rsid w:val="00567F90"/>
    <w:rPr>
      <w:rFonts w:ascii="Arial" w:hAnsi="Arial" w:cs="Times New Roman"/>
      <w:sz w:val="24"/>
      <w:szCs w:val="24"/>
    </w:rPr>
  </w:style>
  <w:style w:type="character" w:customStyle="1" w:styleId="Heading2Char">
    <w:name w:val="Heading 2 Char"/>
    <w:basedOn w:val="DefaultParagraphFont"/>
    <w:link w:val="Heading2"/>
    <w:uiPriority w:val="99"/>
    <w:semiHidden/>
    <w:locked/>
    <w:rsid w:val="00567F90"/>
    <w:rPr>
      <w:rFonts w:ascii="Cambria" w:hAnsi="Cambria" w:cs="Times New Roman"/>
      <w:b/>
      <w:bCs/>
      <w:i/>
      <w:iCs/>
      <w:sz w:val="28"/>
      <w:szCs w:val="28"/>
    </w:rPr>
  </w:style>
  <w:style w:type="character" w:customStyle="1" w:styleId="Heading1Char">
    <w:name w:val="Heading 1 Char"/>
    <w:basedOn w:val="DefaultParagraphFont"/>
    <w:link w:val="Heading1"/>
    <w:uiPriority w:val="99"/>
    <w:locked/>
    <w:rsid w:val="00567F9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67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67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67F9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67F90"/>
    <w:rPr>
      <w:rFonts w:ascii="Calibri" w:hAnsi="Calibri" w:cs="Times New Roman"/>
      <w:b/>
      <w:bCs/>
    </w:rPr>
  </w:style>
  <w:style w:type="character" w:customStyle="1" w:styleId="Heading7Char">
    <w:name w:val="Heading 7 Char"/>
    <w:basedOn w:val="DefaultParagraphFont"/>
    <w:link w:val="Heading7"/>
    <w:uiPriority w:val="99"/>
    <w:semiHidden/>
    <w:locked/>
    <w:rsid w:val="00567F9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67F9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67F90"/>
    <w:rPr>
      <w:rFonts w:ascii="Cambria" w:hAnsi="Cambria" w:cs="Times New Roman"/>
    </w:rPr>
  </w:style>
  <w:style w:type="paragraph" w:styleId="TOC1">
    <w:name w:val="toc 1"/>
    <w:basedOn w:val="Normal"/>
    <w:next w:val="Normal"/>
    <w:uiPriority w:val="99"/>
    <w:semiHidden/>
    <w:rsid w:val="009419F7"/>
    <w:pPr>
      <w:spacing w:before="120" w:after="240"/>
    </w:pPr>
  </w:style>
  <w:style w:type="character" w:styleId="Hyperlink">
    <w:name w:val="Hyperlink"/>
    <w:basedOn w:val="DefaultParagraphFont"/>
    <w:uiPriority w:val="99"/>
    <w:rsid w:val="009419F7"/>
    <w:rPr>
      <w:rFonts w:cs="Times New Roman"/>
      <w:color w:val="0000FF"/>
      <w:u w:val="single"/>
    </w:rPr>
  </w:style>
  <w:style w:type="paragraph" w:customStyle="1" w:styleId="TableText">
    <w:name w:val="Table Text"/>
    <w:basedOn w:val="Normal"/>
    <w:uiPriority w:val="99"/>
    <w:rsid w:val="009419F7"/>
    <w:pPr>
      <w:spacing w:before="120" w:after="170"/>
    </w:pPr>
  </w:style>
  <w:style w:type="paragraph" w:customStyle="1" w:styleId="TableColumnHeader">
    <w:name w:val="Table Column Header"/>
    <w:basedOn w:val="TableText"/>
    <w:uiPriority w:val="99"/>
    <w:rsid w:val="009419F7"/>
    <w:rPr>
      <w:b/>
    </w:rPr>
  </w:style>
  <w:style w:type="paragraph" w:styleId="BalloonText">
    <w:name w:val="Balloon Text"/>
    <w:basedOn w:val="Normal"/>
    <w:link w:val="BalloonTextChar"/>
    <w:uiPriority w:val="99"/>
    <w:semiHidden/>
    <w:rsid w:val="00941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F90"/>
    <w:rPr>
      <w:rFonts w:cs="Times New Roman"/>
      <w:sz w:val="2"/>
    </w:rPr>
  </w:style>
  <w:style w:type="paragraph" w:styleId="Header">
    <w:name w:val="header"/>
    <w:basedOn w:val="Normal"/>
    <w:link w:val="HeaderChar"/>
    <w:uiPriority w:val="99"/>
    <w:rsid w:val="009419F7"/>
    <w:pPr>
      <w:tabs>
        <w:tab w:val="center" w:pos="4153"/>
        <w:tab w:val="right" w:pos="8306"/>
      </w:tabs>
    </w:pPr>
  </w:style>
  <w:style w:type="character" w:customStyle="1" w:styleId="HeaderChar">
    <w:name w:val="Header Char"/>
    <w:basedOn w:val="DefaultParagraphFont"/>
    <w:link w:val="Header"/>
    <w:uiPriority w:val="99"/>
    <w:semiHidden/>
    <w:locked/>
    <w:rsid w:val="00567F90"/>
    <w:rPr>
      <w:rFonts w:ascii="Arial" w:hAnsi="Arial" w:cs="Times New Roman"/>
      <w:sz w:val="24"/>
      <w:szCs w:val="24"/>
    </w:rPr>
  </w:style>
  <w:style w:type="paragraph" w:styleId="Footer">
    <w:name w:val="footer"/>
    <w:basedOn w:val="Normal"/>
    <w:link w:val="FooterChar"/>
    <w:uiPriority w:val="99"/>
    <w:rsid w:val="009419F7"/>
    <w:pPr>
      <w:tabs>
        <w:tab w:val="center" w:pos="4153"/>
        <w:tab w:val="right" w:pos="8306"/>
      </w:tabs>
    </w:pPr>
  </w:style>
  <w:style w:type="character" w:customStyle="1" w:styleId="FooterChar">
    <w:name w:val="Footer Char"/>
    <w:basedOn w:val="DefaultParagraphFont"/>
    <w:link w:val="Footer"/>
    <w:uiPriority w:val="99"/>
    <w:locked/>
    <w:rsid w:val="00567F90"/>
    <w:rPr>
      <w:rFonts w:ascii="Arial" w:hAnsi="Arial" w:cs="Times New Roman"/>
      <w:sz w:val="24"/>
      <w:szCs w:val="24"/>
    </w:rPr>
  </w:style>
  <w:style w:type="table" w:styleId="TableGrid">
    <w:name w:val="Table Grid"/>
    <w:basedOn w:val="TableNormal"/>
    <w:uiPriority w:val="99"/>
    <w:rsid w:val="009419F7"/>
    <w:pPr>
      <w:spacing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419F7"/>
    <w:rPr>
      <w:rFonts w:cs="Times New Roman"/>
    </w:rPr>
  </w:style>
  <w:style w:type="paragraph" w:customStyle="1" w:styleId="Bodyindent">
    <w:name w:val="Body indent"/>
    <w:basedOn w:val="Normal"/>
    <w:uiPriority w:val="99"/>
    <w:rsid w:val="009419F7"/>
    <w:pPr>
      <w:widowControl w:val="0"/>
      <w:spacing w:before="140" w:line="290" w:lineRule="atLeast"/>
      <w:ind w:left="680"/>
    </w:pPr>
    <w:rPr>
      <w:rFonts w:ascii="Sabon" w:hAnsi="Sabon"/>
      <w:color w:val="000000"/>
      <w:sz w:val="21"/>
      <w:lang w:val="en-US"/>
    </w:rPr>
  </w:style>
  <w:style w:type="paragraph" w:styleId="FootnoteText">
    <w:name w:val="footnote text"/>
    <w:basedOn w:val="Normal"/>
    <w:link w:val="FootnoteTextChar"/>
    <w:uiPriority w:val="99"/>
    <w:semiHidden/>
    <w:rsid w:val="009419F7"/>
  </w:style>
  <w:style w:type="character" w:customStyle="1" w:styleId="FootnoteTextChar">
    <w:name w:val="Footnote Text Char"/>
    <w:basedOn w:val="DefaultParagraphFont"/>
    <w:link w:val="FootnoteText"/>
    <w:uiPriority w:val="99"/>
    <w:semiHidden/>
    <w:locked/>
    <w:rsid w:val="00567F90"/>
    <w:rPr>
      <w:rFonts w:ascii="Arial" w:hAnsi="Arial" w:cs="Times New Roman"/>
      <w:sz w:val="20"/>
      <w:szCs w:val="20"/>
    </w:rPr>
  </w:style>
  <w:style w:type="character" w:styleId="FootnoteReference">
    <w:name w:val="footnote reference"/>
    <w:basedOn w:val="DefaultParagraphFont"/>
    <w:uiPriority w:val="99"/>
    <w:semiHidden/>
    <w:rsid w:val="009419F7"/>
    <w:rPr>
      <w:rFonts w:cs="Times New Roman"/>
      <w:vertAlign w:val="superscript"/>
    </w:rPr>
  </w:style>
  <w:style w:type="character" w:customStyle="1" w:styleId="EmailStyle421">
    <w:name w:val="EmailStyle421"/>
    <w:basedOn w:val="DefaultParagraphFont"/>
    <w:uiPriority w:val="99"/>
    <w:semiHidden/>
    <w:rsid w:val="009419F7"/>
    <w:rPr>
      <w:rFonts w:ascii="Arial" w:hAnsi="Arial" w:cs="Arial"/>
      <w:color w:val="auto"/>
      <w:sz w:val="20"/>
      <w:szCs w:val="20"/>
    </w:rPr>
  </w:style>
  <w:style w:type="character" w:styleId="FollowedHyperlink">
    <w:name w:val="FollowedHyperlink"/>
    <w:basedOn w:val="DefaultParagraphFont"/>
    <w:uiPriority w:val="99"/>
    <w:rsid w:val="009419F7"/>
    <w:rPr>
      <w:rFonts w:cs="Times New Roman"/>
      <w:color w:val="800080"/>
      <w:u w:val="single"/>
    </w:rPr>
  </w:style>
  <w:style w:type="paragraph" w:styleId="PlainText">
    <w:name w:val="Plain Text"/>
    <w:basedOn w:val="Normal"/>
    <w:link w:val="PlainTextChar"/>
    <w:uiPriority w:val="99"/>
    <w:rsid w:val="00353AF0"/>
    <w:rPr>
      <w:rFonts w:ascii="Courier New" w:hAnsi="Courier New" w:cs="Courier New"/>
    </w:rPr>
  </w:style>
  <w:style w:type="character" w:customStyle="1" w:styleId="PlainTextChar">
    <w:name w:val="Plain Text Char"/>
    <w:basedOn w:val="DefaultParagraphFont"/>
    <w:link w:val="PlainText"/>
    <w:uiPriority w:val="99"/>
    <w:semiHidden/>
    <w:locked/>
    <w:rsid w:val="00567F90"/>
    <w:rPr>
      <w:rFonts w:ascii="Courier New" w:hAnsi="Courier New" w:cs="Courier New"/>
      <w:sz w:val="20"/>
      <w:szCs w:val="20"/>
    </w:rPr>
  </w:style>
  <w:style w:type="paragraph" w:styleId="BodyTextIndent3">
    <w:name w:val="Body Text Indent 3"/>
    <w:basedOn w:val="Normal"/>
    <w:link w:val="BodyTextIndent3Char"/>
    <w:uiPriority w:val="99"/>
    <w:rsid w:val="002661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7F90"/>
    <w:rPr>
      <w:rFonts w:ascii="Arial" w:hAnsi="Arial" w:cs="Times New Roman"/>
      <w:sz w:val="16"/>
      <w:szCs w:val="16"/>
    </w:rPr>
  </w:style>
  <w:style w:type="paragraph" w:customStyle="1" w:styleId="Default">
    <w:name w:val="Default"/>
    <w:rsid w:val="00B910EB"/>
    <w:pPr>
      <w:autoSpaceDE w:val="0"/>
      <w:autoSpaceDN w:val="0"/>
      <w:adjustRightInd w:val="0"/>
      <w:spacing w:before="60" w:after="60"/>
    </w:pPr>
    <w:rPr>
      <w:rFonts w:ascii="Arial" w:hAnsi="Arial" w:cs="Arial"/>
      <w:color w:val="000000"/>
      <w:sz w:val="24"/>
      <w:szCs w:val="24"/>
    </w:rPr>
  </w:style>
  <w:style w:type="character" w:styleId="CommentReference">
    <w:name w:val="annotation reference"/>
    <w:basedOn w:val="DefaultParagraphFont"/>
    <w:uiPriority w:val="99"/>
    <w:semiHidden/>
    <w:rsid w:val="00FC4057"/>
    <w:rPr>
      <w:rFonts w:cs="Times New Roman"/>
      <w:sz w:val="16"/>
      <w:szCs w:val="16"/>
    </w:rPr>
  </w:style>
  <w:style w:type="paragraph" w:styleId="CommentText">
    <w:name w:val="annotation text"/>
    <w:basedOn w:val="Normal"/>
    <w:link w:val="CommentTextChar"/>
    <w:uiPriority w:val="99"/>
    <w:semiHidden/>
    <w:rsid w:val="00FC4057"/>
  </w:style>
  <w:style w:type="character" w:customStyle="1" w:styleId="CommentTextChar">
    <w:name w:val="Comment Text Char"/>
    <w:basedOn w:val="DefaultParagraphFont"/>
    <w:link w:val="CommentText"/>
    <w:uiPriority w:val="99"/>
    <w:semiHidden/>
    <w:locked/>
    <w:rsid w:val="00567F90"/>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C4057"/>
    <w:rPr>
      <w:b/>
      <w:bCs/>
    </w:rPr>
  </w:style>
  <w:style w:type="character" w:customStyle="1" w:styleId="CommentSubjectChar">
    <w:name w:val="Comment Subject Char"/>
    <w:basedOn w:val="CommentTextChar"/>
    <w:link w:val="CommentSubject"/>
    <w:uiPriority w:val="99"/>
    <w:semiHidden/>
    <w:locked/>
    <w:rsid w:val="00567F90"/>
    <w:rPr>
      <w:rFonts w:ascii="Arial" w:hAnsi="Arial" w:cs="Times New Roman"/>
      <w:b/>
      <w:bCs/>
      <w:sz w:val="20"/>
      <w:szCs w:val="20"/>
    </w:rPr>
  </w:style>
  <w:style w:type="paragraph" w:customStyle="1" w:styleId="Italicparaheading">
    <w:name w:val="Italic para heading"/>
    <w:basedOn w:val="Normal"/>
    <w:link w:val="ItalicparaheadingChar"/>
    <w:uiPriority w:val="99"/>
    <w:rsid w:val="0069418F"/>
    <w:pPr>
      <w:spacing w:before="120" w:after="120"/>
    </w:pPr>
    <w:rPr>
      <w:b/>
      <w:i/>
    </w:rPr>
  </w:style>
  <w:style w:type="character" w:customStyle="1" w:styleId="ItalicparaheadingChar">
    <w:name w:val="Italic para heading Char"/>
    <w:basedOn w:val="DefaultParagraphFont"/>
    <w:link w:val="Italicparaheading"/>
    <w:uiPriority w:val="99"/>
    <w:locked/>
    <w:rsid w:val="0069418F"/>
    <w:rPr>
      <w:rFonts w:ascii="Arial" w:hAnsi="Arial" w:cs="Times New Roman"/>
      <w:b/>
      <w:i/>
      <w:sz w:val="24"/>
      <w:lang w:eastAsia="en-US"/>
    </w:rPr>
  </w:style>
  <w:style w:type="paragraph" w:customStyle="1" w:styleId="Ruthsparagraph">
    <w:name w:val="Ruth's paragraph"/>
    <w:basedOn w:val="ListParagraph"/>
    <w:link w:val="RuthsparagraphChar1"/>
    <w:uiPriority w:val="99"/>
    <w:rsid w:val="008A65E8"/>
    <w:pPr>
      <w:numPr>
        <w:ilvl w:val="1"/>
        <w:numId w:val="4"/>
      </w:numPr>
      <w:spacing w:before="120" w:after="120"/>
    </w:pPr>
  </w:style>
  <w:style w:type="paragraph" w:styleId="ListParagraph">
    <w:name w:val="List Paragraph"/>
    <w:basedOn w:val="Normal"/>
    <w:link w:val="ListParagraphChar"/>
    <w:uiPriority w:val="34"/>
    <w:qFormat/>
    <w:rsid w:val="001D2D57"/>
    <w:pPr>
      <w:numPr>
        <w:numId w:val="5"/>
      </w:numPr>
      <w:contextualSpacing/>
    </w:pPr>
  </w:style>
  <w:style w:type="character" w:customStyle="1" w:styleId="ListParagraphChar">
    <w:name w:val="List Paragraph Char"/>
    <w:basedOn w:val="DefaultParagraphFont"/>
    <w:link w:val="ListParagraph"/>
    <w:uiPriority w:val="34"/>
    <w:locked/>
    <w:rsid w:val="001D2D57"/>
    <w:rPr>
      <w:rFonts w:ascii="Arial" w:hAnsi="Arial"/>
      <w:sz w:val="24"/>
      <w:szCs w:val="24"/>
    </w:rPr>
  </w:style>
  <w:style w:type="character" w:customStyle="1" w:styleId="RuthsparagraphChar1">
    <w:name w:val="Ruth's paragraph Char1"/>
    <w:basedOn w:val="DefaultParagraphFont"/>
    <w:link w:val="Ruthsparagraph"/>
    <w:uiPriority w:val="99"/>
    <w:locked/>
    <w:rsid w:val="008A65E8"/>
    <w:rPr>
      <w:rFonts w:ascii="Arial" w:hAnsi="Arial"/>
      <w:sz w:val="24"/>
      <w:szCs w:val="24"/>
    </w:rPr>
  </w:style>
  <w:style w:type="paragraph" w:customStyle="1" w:styleId="Ruthsbulletpoint">
    <w:name w:val="Ruth's bullet point"/>
    <w:basedOn w:val="Ruthsparagraph"/>
    <w:link w:val="RuthsbulletpointChar"/>
    <w:uiPriority w:val="99"/>
    <w:rsid w:val="008A65E8"/>
    <w:pPr>
      <w:numPr>
        <w:numId w:val="3"/>
      </w:numPr>
    </w:pPr>
  </w:style>
  <w:style w:type="character" w:customStyle="1" w:styleId="RuthsbulletpointChar">
    <w:name w:val="Ruth's bullet point Char"/>
    <w:basedOn w:val="RuthsparagraphChar1"/>
    <w:link w:val="Ruthsbulletpoint"/>
    <w:uiPriority w:val="99"/>
    <w:locked/>
    <w:rsid w:val="008A65E8"/>
    <w:rPr>
      <w:rFonts w:ascii="Arial" w:hAnsi="Arial"/>
      <w:sz w:val="24"/>
      <w:szCs w:val="24"/>
    </w:rPr>
  </w:style>
  <w:style w:type="paragraph" w:customStyle="1" w:styleId="Ruthsnumberedheading">
    <w:name w:val="Ruth's numbered heading"/>
    <w:basedOn w:val="Normal"/>
    <w:uiPriority w:val="99"/>
    <w:rsid w:val="008A65E8"/>
    <w:pPr>
      <w:numPr>
        <w:numId w:val="4"/>
      </w:numPr>
      <w:spacing w:before="120" w:after="120"/>
    </w:pPr>
    <w:rPr>
      <w:rFonts w:cs="Arial"/>
      <w:b/>
      <w:sz w:val="28"/>
      <w:szCs w:val="28"/>
    </w:rPr>
  </w:style>
  <w:style w:type="paragraph" w:customStyle="1" w:styleId="Ruth-numberedparargraph">
    <w:name w:val="Ruth - numbered parargraph"/>
    <w:basedOn w:val="ListParagraph"/>
    <w:link w:val="Ruth-numberedparargraphChar"/>
    <w:uiPriority w:val="99"/>
    <w:rsid w:val="001D2D57"/>
    <w:pPr>
      <w:numPr>
        <w:ilvl w:val="1"/>
        <w:numId w:val="6"/>
      </w:numPr>
    </w:pPr>
    <w:rPr>
      <w:rFonts w:ascii="Calibri" w:hAnsi="Calibri" w:cs="Arial"/>
    </w:rPr>
  </w:style>
  <w:style w:type="character" w:customStyle="1" w:styleId="Ruth-numberedparargraphChar">
    <w:name w:val="Ruth - numbered parargraph Char"/>
    <w:basedOn w:val="ListParagraphChar"/>
    <w:link w:val="Ruth-numberedparargraph"/>
    <w:uiPriority w:val="99"/>
    <w:locked/>
    <w:rsid w:val="001D2D57"/>
    <w:rPr>
      <w:rFonts w:ascii="Calibri" w:hAnsi="Calibri" w:cs="Arial"/>
      <w:sz w:val="24"/>
      <w:szCs w:val="24"/>
    </w:rPr>
  </w:style>
  <w:style w:type="paragraph" w:customStyle="1" w:styleId="Ruth-paragraphblank">
    <w:name w:val="Ruth - paragraph blank"/>
    <w:basedOn w:val="Normal"/>
    <w:link w:val="Ruth-paragraphblankChar"/>
    <w:uiPriority w:val="99"/>
    <w:rsid w:val="001D2D57"/>
    <w:pPr>
      <w:spacing w:before="120" w:after="120"/>
      <w:ind w:left="709"/>
    </w:pPr>
    <w:rPr>
      <w:rFonts w:ascii="Calibri" w:hAnsi="Calibri"/>
    </w:rPr>
  </w:style>
  <w:style w:type="character" w:customStyle="1" w:styleId="Ruth-paragraphblankChar">
    <w:name w:val="Ruth - paragraph blank Char"/>
    <w:basedOn w:val="DefaultParagraphFont"/>
    <w:link w:val="Ruth-paragraphblank"/>
    <w:uiPriority w:val="99"/>
    <w:locked/>
    <w:rsid w:val="001D2D57"/>
    <w:rPr>
      <w:rFonts w:ascii="Calibri" w:hAnsi="Calibri" w:cs="Times New Roman"/>
      <w:sz w:val="24"/>
      <w:szCs w:val="24"/>
    </w:rPr>
  </w:style>
  <w:style w:type="paragraph" w:customStyle="1" w:styleId="Ruth-documenttitle">
    <w:name w:val="Ruth - document title"/>
    <w:basedOn w:val="Normal"/>
    <w:link w:val="Ruth-documenttitleChar"/>
    <w:uiPriority w:val="99"/>
    <w:rsid w:val="001D2D57"/>
    <w:pPr>
      <w:spacing w:before="120" w:after="240"/>
    </w:pPr>
    <w:rPr>
      <w:rFonts w:ascii="Calibri" w:hAnsi="Calibri"/>
      <w:b/>
      <w:sz w:val="32"/>
      <w:szCs w:val="32"/>
    </w:rPr>
  </w:style>
  <w:style w:type="character" w:customStyle="1" w:styleId="Ruth-documenttitleChar">
    <w:name w:val="Ruth - document title Char"/>
    <w:basedOn w:val="DefaultParagraphFont"/>
    <w:link w:val="Ruth-documenttitle"/>
    <w:uiPriority w:val="99"/>
    <w:locked/>
    <w:rsid w:val="001D2D57"/>
    <w:rPr>
      <w:rFonts w:ascii="Calibri" w:hAnsi="Calibri" w:cs="Times New Roman"/>
      <w:b/>
      <w:sz w:val="32"/>
      <w:szCs w:val="32"/>
    </w:rPr>
  </w:style>
  <w:style w:type="paragraph" w:customStyle="1" w:styleId="Ruth-headingnumbered">
    <w:name w:val="Ruth - heading numbered"/>
    <w:basedOn w:val="ListParagraph"/>
    <w:link w:val="Ruth-headingnumberedChar"/>
    <w:uiPriority w:val="99"/>
    <w:rsid w:val="001D2D57"/>
    <w:pPr>
      <w:numPr>
        <w:numId w:val="6"/>
      </w:numPr>
      <w:spacing w:before="240" w:after="240"/>
      <w:contextualSpacing w:val="0"/>
    </w:pPr>
    <w:rPr>
      <w:rFonts w:ascii="Calibri" w:hAnsi="Calibri"/>
      <w:b/>
      <w:sz w:val="28"/>
      <w:szCs w:val="28"/>
    </w:rPr>
  </w:style>
  <w:style w:type="character" w:customStyle="1" w:styleId="Ruth-headingnumberedChar">
    <w:name w:val="Ruth - heading numbered Char"/>
    <w:basedOn w:val="ListParagraphChar"/>
    <w:link w:val="Ruth-headingnumbered"/>
    <w:uiPriority w:val="99"/>
    <w:locked/>
    <w:rsid w:val="001D2D57"/>
    <w:rPr>
      <w:rFonts w:ascii="Calibri" w:hAnsi="Calibri"/>
      <w:b/>
      <w:sz w:val="28"/>
      <w:szCs w:val="28"/>
    </w:rPr>
  </w:style>
  <w:style w:type="paragraph" w:customStyle="1" w:styleId="Ruth-bullet">
    <w:name w:val="Ruth - bullet"/>
    <w:basedOn w:val="ListParagraph"/>
    <w:link w:val="Ruth-bulletChar"/>
    <w:uiPriority w:val="99"/>
    <w:rsid w:val="001D2D57"/>
    <w:pPr>
      <w:numPr>
        <w:numId w:val="7"/>
      </w:numPr>
    </w:pPr>
    <w:rPr>
      <w:rFonts w:ascii="Calibri" w:hAnsi="Calibri"/>
    </w:rPr>
  </w:style>
  <w:style w:type="character" w:customStyle="1" w:styleId="Ruth-bulletChar">
    <w:name w:val="Ruth - bullet Char"/>
    <w:basedOn w:val="ListParagraphChar"/>
    <w:link w:val="Ruth-bullet"/>
    <w:uiPriority w:val="99"/>
    <w:locked/>
    <w:rsid w:val="001D2D57"/>
    <w:rPr>
      <w:rFonts w:ascii="Calibri" w:hAnsi="Calibri"/>
      <w:sz w:val="24"/>
      <w:szCs w:val="24"/>
    </w:rPr>
  </w:style>
  <w:style w:type="character" w:styleId="Strong">
    <w:name w:val="Strong"/>
    <w:basedOn w:val="DefaultParagraphFont"/>
    <w:uiPriority w:val="99"/>
    <w:qFormat/>
    <w:rsid w:val="003B02A0"/>
    <w:rPr>
      <w:rFonts w:cs="Times New Roman"/>
      <w:b/>
      <w:bCs/>
    </w:rPr>
  </w:style>
  <w:style w:type="paragraph" w:customStyle="1" w:styleId="Normalnos">
    <w:name w:val="Normal + nos"/>
    <w:basedOn w:val="Default"/>
    <w:next w:val="Default"/>
    <w:uiPriority w:val="99"/>
    <w:rsid w:val="00953F44"/>
    <w:pPr>
      <w:spacing w:before="0" w:after="0"/>
    </w:pPr>
    <w:rPr>
      <w:rFonts w:ascii="Tahoma" w:hAnsi="Tahoma" w:cs="Tahoma"/>
      <w:color w:val="auto"/>
    </w:rPr>
  </w:style>
  <w:style w:type="paragraph" w:customStyle="1" w:styleId="italicparaheading0">
    <w:name w:val="italicparaheading"/>
    <w:basedOn w:val="Normal"/>
    <w:uiPriority w:val="99"/>
    <w:rsid w:val="0083640A"/>
    <w:pPr>
      <w:spacing w:before="100" w:beforeAutospacing="1" w:after="100" w:afterAutospacing="1"/>
    </w:pPr>
  </w:style>
  <w:style w:type="character" w:styleId="Emphasis">
    <w:name w:val="Emphasis"/>
    <w:basedOn w:val="DefaultParagraphFont"/>
    <w:uiPriority w:val="99"/>
    <w:qFormat/>
    <w:rsid w:val="0083640A"/>
    <w:rPr>
      <w:rFonts w:cs="Times New Roman"/>
      <w:i/>
      <w:iCs/>
    </w:rPr>
  </w:style>
  <w:style w:type="paragraph" w:customStyle="1" w:styleId="Ruth-paragraphheading">
    <w:name w:val="Ruth - paragraph heading"/>
    <w:basedOn w:val="BodyText"/>
    <w:link w:val="Ruth-paragraphheadingChar"/>
    <w:uiPriority w:val="99"/>
    <w:rsid w:val="002840CA"/>
    <w:pPr>
      <w:spacing w:before="120" w:after="120"/>
      <w:ind w:left="709"/>
    </w:pPr>
    <w:rPr>
      <w:b/>
    </w:rPr>
  </w:style>
  <w:style w:type="character" w:customStyle="1" w:styleId="Ruth-paragraphheadingChar">
    <w:name w:val="Ruth - paragraph heading Char"/>
    <w:basedOn w:val="BodyTextChar"/>
    <w:link w:val="Ruth-paragraphheading"/>
    <w:uiPriority w:val="99"/>
    <w:locked/>
    <w:rsid w:val="002840CA"/>
    <w:rPr>
      <w:rFonts w:ascii="Arial"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ports.ofsted.gov.uk/sites/default/files/documents/local_authority_reports/lancashire/054_Monitoring%20visit%20of%20LA%20childrens%20services%20as%20pdf.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uncil.lancashire.gov.uk/ieDecisionDetails.aspx?ID=1115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0997-2B06-4114-BE08-8890B465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18</Pages>
  <Words>5324</Words>
  <Characters>30335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Annual report</vt:lpstr>
    </vt:vector>
  </TitlesOfParts>
  <Company>Lancashire County Council</Company>
  <LinksUpToDate>false</LinksUpToDate>
  <CharactersWithSpaces>35588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Ruth Lowry</dc:creator>
  <cp:lastModifiedBy>Parker, Sam</cp:lastModifiedBy>
  <cp:revision>55</cp:revision>
  <cp:lastPrinted>2013-06-04T09:58:00Z</cp:lastPrinted>
  <dcterms:created xsi:type="dcterms:W3CDTF">2017-05-22T11:08:00Z</dcterms:created>
  <dcterms:modified xsi:type="dcterms:W3CDTF">2017-06-16T14:36:00Z</dcterms:modified>
</cp:coreProperties>
</file>